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2C1AB" w14:textId="77777777" w:rsidR="00901239" w:rsidRPr="00901239" w:rsidRDefault="00901239" w:rsidP="00901239">
      <w:pPr>
        <w:spacing w:after="120" w:line="240" w:lineRule="auto"/>
        <w:ind w:left="720" w:hanging="720"/>
        <w:outlineLvl w:val="1"/>
        <w:rPr>
          <w:rFonts w:ascii="Arial" w:eastAsia="Arial" w:hAnsi="Arial" w:cs="Times New Roman"/>
          <w:b/>
          <w:color w:val="0070C0"/>
          <w:kern w:val="0"/>
          <w:sz w:val="32"/>
          <w:szCs w:val="32"/>
          <w14:ligatures w14:val="none"/>
        </w:rPr>
      </w:pPr>
      <w:r w:rsidRPr="00901239">
        <w:rPr>
          <w:rFonts w:ascii="Arial" w:eastAsia="Arial" w:hAnsi="Arial" w:cs="Times New Roman"/>
          <w:b/>
          <w:color w:val="0070C0"/>
          <w:kern w:val="0"/>
          <w:sz w:val="32"/>
          <w:szCs w:val="32"/>
          <w14:ligatures w14:val="none"/>
        </w:rPr>
        <w:t>Hyperkalaemia in heart failure</w:t>
      </w:r>
    </w:p>
    <w:tbl>
      <w:tblPr>
        <w:tblW w:w="10206" w:type="dxa"/>
        <w:tblCellMar>
          <w:left w:w="0" w:type="dxa"/>
          <w:right w:w="0" w:type="dxa"/>
        </w:tblCellMar>
        <w:tblLook w:val="06A0" w:firstRow="1" w:lastRow="0" w:firstColumn="1" w:lastColumn="0" w:noHBand="1" w:noVBand="1"/>
      </w:tblPr>
      <w:tblGrid>
        <w:gridCol w:w="10206"/>
      </w:tblGrid>
      <w:tr w:rsidR="00901239" w:rsidRPr="00901239" w14:paraId="7E0EE1F4" w14:textId="77777777" w:rsidTr="00C97EDB">
        <w:trPr>
          <w:trHeight w:val="773"/>
        </w:trPr>
        <w:tc>
          <w:tcPr>
            <w:tcW w:w="10206" w:type="dxa"/>
            <w:shd w:val="clear" w:color="auto" w:fill="D9D9D9"/>
            <w:vAlign w:val="center"/>
          </w:tcPr>
          <w:p w14:paraId="549C8E8C" w14:textId="77777777" w:rsidR="00901239" w:rsidRPr="00901239" w:rsidRDefault="00901239" w:rsidP="00901239">
            <w:pPr>
              <w:rPr>
                <w:rFonts w:ascii="Arial" w:eastAsia="Arial" w:hAnsi="Arial" w:cs="Times New Roman"/>
                <w:kern w:val="0"/>
                <w:lang w:val="sv-SE"/>
                <w14:ligatures w14:val="none"/>
              </w:rPr>
            </w:pPr>
            <w:r w:rsidRPr="00901239">
              <w:rPr>
                <w:rFonts w:ascii="Arial" w:eastAsia="Arial" w:hAnsi="Arial" w:cs="Times New Roman"/>
                <w:kern w:val="0"/>
                <w:lang w:val="sv-SE"/>
                <w14:ligatures w14:val="none"/>
              </w:rPr>
              <w:t>Dear [Dr ____],</w:t>
            </w:r>
          </w:p>
          <w:p w14:paraId="15158108" w14:textId="77777777" w:rsidR="00901239" w:rsidRPr="00901239" w:rsidRDefault="00901239" w:rsidP="00901239">
            <w:pPr>
              <w:rPr>
                <w:rFonts w:ascii="Arial" w:eastAsia="Arial" w:hAnsi="Arial" w:cs="Times New Roman"/>
                <w:kern w:val="0"/>
                <w14:ligatures w14:val="none"/>
              </w:rPr>
            </w:pPr>
            <w:r w:rsidRPr="00901239">
              <w:rPr>
                <w:rFonts w:ascii="Arial" w:eastAsia="Arial" w:hAnsi="Arial" w:cs="Times New Roman"/>
                <w:kern w:val="0"/>
                <w14:ligatures w14:val="none"/>
              </w:rPr>
              <w:t>Advice and guidance response pertaining to [Patient name].</w:t>
            </w:r>
          </w:p>
          <w:p w14:paraId="7503C028" w14:textId="77777777" w:rsidR="00901239" w:rsidRPr="00901239" w:rsidRDefault="00901239" w:rsidP="00901239">
            <w:pPr>
              <w:spacing w:after="0"/>
              <w:rPr>
                <w:rFonts w:ascii="Arial" w:eastAsia="Arial" w:hAnsi="Arial" w:cs="Times New Roman"/>
                <w:b/>
                <w:kern w:val="0"/>
                <w14:ligatures w14:val="none"/>
              </w:rPr>
            </w:pPr>
            <w:r w:rsidRPr="00901239">
              <w:rPr>
                <w:rFonts w:ascii="Arial" w:eastAsia="Arial" w:hAnsi="Arial" w:cs="Times New Roman"/>
                <w:b/>
                <w:kern w:val="0"/>
                <w14:ligatures w14:val="none"/>
              </w:rPr>
              <w:t>General Information</w:t>
            </w:r>
          </w:p>
          <w:p w14:paraId="2BEFBDD6" w14:textId="77777777" w:rsidR="00901239" w:rsidRPr="00901239" w:rsidRDefault="00901239" w:rsidP="00901239">
            <w:pPr>
              <w:spacing w:after="0"/>
              <w:rPr>
                <w:rFonts w:ascii="Arial" w:eastAsia="Arial" w:hAnsi="Arial" w:cs="Times New Roman"/>
                <w:kern w:val="0"/>
                <w14:ligatures w14:val="none"/>
              </w:rPr>
            </w:pPr>
            <w:r w:rsidRPr="00901239">
              <w:rPr>
                <w:rFonts w:ascii="Arial" w:eastAsia="Arial" w:hAnsi="Arial" w:cs="Times New Roman"/>
                <w:kern w:val="0"/>
                <w14:ligatures w14:val="none"/>
              </w:rPr>
              <w:t>Heart failure often co-exists with diabetes and or chronic kidney disease. As these conditions come with the risk of developing hyperkalaemia, the UK Kidney Association (UKKA) recommends that patients with these conditions have routine monitoring of urea and electrolytes between 2-4 times per year (UKKA, 2023).</w:t>
            </w:r>
          </w:p>
          <w:p w14:paraId="27528599" w14:textId="77777777" w:rsidR="00901239" w:rsidRPr="00901239" w:rsidRDefault="00901239" w:rsidP="00901239">
            <w:pPr>
              <w:spacing w:after="0"/>
              <w:rPr>
                <w:rFonts w:ascii="Arial" w:eastAsia="Arial" w:hAnsi="Arial" w:cs="Times New Roman"/>
                <w:kern w:val="0"/>
                <w14:ligatures w14:val="none"/>
              </w:rPr>
            </w:pPr>
          </w:p>
          <w:p w14:paraId="23DC03AB" w14:textId="77777777" w:rsidR="00901239" w:rsidRPr="00901239" w:rsidRDefault="00901239" w:rsidP="00901239">
            <w:pPr>
              <w:rPr>
                <w:rFonts w:ascii="Arial" w:eastAsia="Arial" w:hAnsi="Arial" w:cs="Times New Roman"/>
                <w:kern w:val="0"/>
                <w14:ligatures w14:val="none"/>
              </w:rPr>
            </w:pPr>
            <w:r w:rsidRPr="00901239">
              <w:rPr>
                <w:rFonts w:ascii="Arial" w:eastAsia="Arial" w:hAnsi="Arial" w:cs="Times New Roman"/>
                <w:kern w:val="0"/>
                <w14:ligatures w14:val="none"/>
              </w:rPr>
              <w:t xml:space="preserve">The UKKA defines hyperkalaemia as a serum potassium ≥5.5 mmol/L. It is further classified by severity into mild (5.5-5.9 mmol/l), moderate (6.0-6.4 mmol/l) or severe (≥6.5 mmol/l). Patients with severe hyperkalaemia are at high risk of developing life-threatening arrhythmias and cardiac arrest. Hypokalaemia is also proarrhythmic and levels should be maintained above 3.5 </w:t>
            </w:r>
            <w:proofErr w:type="spellStart"/>
            <w:r w:rsidRPr="00901239">
              <w:rPr>
                <w:rFonts w:ascii="Arial" w:eastAsia="Arial" w:hAnsi="Arial" w:cs="Times New Roman"/>
                <w:kern w:val="0"/>
                <w14:ligatures w14:val="none"/>
              </w:rPr>
              <w:t>mmo</w:t>
            </w:r>
            <w:proofErr w:type="spellEnd"/>
            <w:r w:rsidRPr="00901239">
              <w:rPr>
                <w:rFonts w:ascii="Arial" w:eastAsia="Arial" w:hAnsi="Arial" w:cs="Times New Roman"/>
                <w:kern w:val="0"/>
                <w14:ligatures w14:val="none"/>
              </w:rPr>
              <w:t>/l; ≤ 3.0 mmol/l needs careful repletion.</w:t>
            </w:r>
          </w:p>
          <w:p w14:paraId="4A857CBB" w14:textId="77777777" w:rsidR="00901239" w:rsidRPr="00901239" w:rsidRDefault="00901239" w:rsidP="00901239">
            <w:pPr>
              <w:rPr>
                <w:rFonts w:ascii="Arial" w:eastAsia="Arial" w:hAnsi="Arial" w:cs="Times New Roman"/>
                <w:kern w:val="0"/>
                <w14:ligatures w14:val="none"/>
              </w:rPr>
            </w:pPr>
            <w:r w:rsidRPr="00901239">
              <w:rPr>
                <w:rFonts w:ascii="Arial" w:eastAsia="Arial" w:hAnsi="Arial" w:cs="Times New Roman"/>
                <w:kern w:val="0"/>
                <w14:ligatures w14:val="none"/>
              </w:rPr>
              <w:t xml:space="preserve">Hyperkalaemia can present challenges in the initiation of Goal Directed Medical Therapy (GDMT), specifically those medications that are known to inhibit the renin angiotensin aldosterone system (RAAS inhibitors), however maintaining </w:t>
            </w:r>
            <w:proofErr w:type="spellStart"/>
            <w:r w:rsidRPr="00901239">
              <w:rPr>
                <w:rFonts w:ascii="Arial" w:eastAsia="Arial" w:hAnsi="Arial" w:cs="Times New Roman"/>
                <w:kern w:val="0"/>
                <w14:ligatures w14:val="none"/>
              </w:rPr>
              <w:t>RAASi</w:t>
            </w:r>
            <w:proofErr w:type="spellEnd"/>
            <w:r w:rsidRPr="00901239">
              <w:rPr>
                <w:rFonts w:ascii="Arial" w:eastAsia="Arial" w:hAnsi="Arial" w:cs="Times New Roman"/>
                <w:kern w:val="0"/>
                <w14:ligatures w14:val="none"/>
              </w:rPr>
              <w:t xml:space="preserve"> therapy is important to improve cardiovascular outcomes in heart failure. Options do exist in the form of potassium binders to support reducing barriers to safe and effective optimisation of heart failure therapies.</w:t>
            </w:r>
          </w:p>
        </w:tc>
      </w:tr>
      <w:tr w:rsidR="00901239" w:rsidRPr="00901239" w14:paraId="6BB971B7" w14:textId="77777777" w:rsidTr="00C97EDB">
        <w:trPr>
          <w:trHeight w:val="27"/>
        </w:trPr>
        <w:tc>
          <w:tcPr>
            <w:tcW w:w="10206" w:type="dxa"/>
            <w:shd w:val="clear" w:color="auto" w:fill="ADFFE5"/>
            <w:vAlign w:val="center"/>
          </w:tcPr>
          <w:p w14:paraId="1BFF4D8C" w14:textId="77777777" w:rsidR="00901239" w:rsidRPr="00901239" w:rsidRDefault="00901239" w:rsidP="00901239">
            <w:pPr>
              <w:spacing w:after="12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901239">
              <w:rPr>
                <w:rFonts w:ascii="Arial" w:eastAsia="MS Mincho" w:hAnsi="Arial" w:cs="Arial"/>
                <w:color w:val="181717"/>
                <w:kern w:val="24"/>
                <w14:textFill>
                  <w14:solidFill>
                    <w14:srgbClr w14:val="181717">
                      <w14:lumMod w14:val="10000"/>
                    </w14:srgbClr>
                  </w14:solidFill>
                </w14:textFill>
                <w14:ligatures w14:val="none"/>
              </w:rPr>
              <w:t>Continuation of GDMT.</w:t>
            </w:r>
          </w:p>
          <w:p w14:paraId="2C4EA9BC" w14:textId="77777777" w:rsidR="00901239" w:rsidRPr="00901239" w:rsidRDefault="00901239" w:rsidP="00901239">
            <w:pPr>
              <w:spacing w:after="12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901239">
              <w:rPr>
                <w:rFonts w:ascii="Arial" w:eastAsia="MS Mincho" w:hAnsi="Arial" w:cs="Arial"/>
                <w:color w:val="181717"/>
                <w:kern w:val="24"/>
                <w14:textFill>
                  <w14:solidFill>
                    <w14:srgbClr w14:val="181717">
                      <w14:lumMod w14:val="10000"/>
                    </w14:srgbClr>
                  </w14:solidFill>
                </w14:textFill>
                <w14:ligatures w14:val="none"/>
              </w:rPr>
              <w:t xml:space="preserve">Serum potassium 3.5-5.5 mmol/L. </w:t>
            </w:r>
          </w:p>
          <w:p w14:paraId="60D25BC6" w14:textId="77777777" w:rsidR="00901239" w:rsidRPr="00901239" w:rsidRDefault="00901239" w:rsidP="00901239">
            <w:pPr>
              <w:spacing w:after="12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901239">
              <w:rPr>
                <w:rFonts w:ascii="Arial" w:eastAsia="MS Mincho" w:hAnsi="Arial" w:cs="Arial"/>
                <w:color w:val="181717"/>
                <w:kern w:val="24"/>
                <w14:textFill>
                  <w14:solidFill>
                    <w14:srgbClr w14:val="181717">
                      <w14:lumMod w14:val="10000"/>
                    </w14:srgbClr>
                  </w14:solidFill>
                </w14:textFill>
                <w14:ligatures w14:val="none"/>
              </w:rPr>
              <w:t xml:space="preserve">Monitor regularly in line with guidelines. </w:t>
            </w:r>
          </w:p>
          <w:p w14:paraId="0117A9E7" w14:textId="77777777" w:rsidR="00901239" w:rsidRPr="00901239" w:rsidRDefault="00901239" w:rsidP="00901239">
            <w:pPr>
              <w:spacing w:after="12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901239">
              <w:rPr>
                <w:rFonts w:ascii="Arial" w:eastAsia="MS Mincho" w:hAnsi="Arial" w:cs="Arial"/>
                <w:color w:val="181717"/>
                <w:kern w:val="24"/>
                <w14:textFill>
                  <w14:solidFill>
                    <w14:srgbClr w14:val="181717">
                      <w14:lumMod w14:val="10000"/>
                    </w14:srgbClr>
                  </w14:solidFill>
                </w14:textFill>
                <w14:ligatures w14:val="none"/>
              </w:rPr>
              <w:t xml:space="preserve">Both </w:t>
            </w:r>
            <w:proofErr w:type="spellStart"/>
            <w:r w:rsidRPr="00901239">
              <w:rPr>
                <w:rFonts w:ascii="Arial" w:eastAsia="MS Mincho" w:hAnsi="Arial" w:cs="Arial"/>
                <w:color w:val="181717"/>
                <w:kern w:val="24"/>
                <w14:textFill>
                  <w14:solidFill>
                    <w14:srgbClr w14:val="181717">
                      <w14:lumMod w14:val="10000"/>
                    </w14:srgbClr>
                  </w14:solidFill>
                </w14:textFill>
                <w14:ligatures w14:val="none"/>
              </w:rPr>
              <w:t>Lokelma</w:t>
            </w:r>
            <w:proofErr w:type="spellEnd"/>
            <w:r w:rsidRPr="00901239">
              <w:rPr>
                <w:rFonts w:ascii="Arial" w:eastAsia="MS Mincho" w:hAnsi="Arial" w:cs="Arial"/>
                <w:color w:val="181717"/>
                <w:kern w:val="24"/>
                <w14:textFill>
                  <w14:solidFill>
                    <w14:srgbClr w14:val="181717">
                      <w14:lumMod w14:val="10000"/>
                    </w14:srgbClr>
                  </w14:solidFill>
                </w14:textFill>
                <w14:ligatures w14:val="none"/>
              </w:rPr>
              <w:t xml:space="preserve"> and </w:t>
            </w:r>
            <w:proofErr w:type="spellStart"/>
            <w:r w:rsidRPr="00901239">
              <w:rPr>
                <w:rFonts w:ascii="Arial" w:eastAsia="MS Mincho" w:hAnsi="Arial" w:cs="Arial"/>
                <w:color w:val="181717"/>
                <w:kern w:val="24"/>
                <w14:textFill>
                  <w14:solidFill>
                    <w14:srgbClr w14:val="181717">
                      <w14:lumMod w14:val="10000"/>
                    </w14:srgbClr>
                  </w14:solidFill>
                </w14:textFill>
                <w14:ligatures w14:val="none"/>
              </w:rPr>
              <w:t>Patiromer</w:t>
            </w:r>
            <w:proofErr w:type="spellEnd"/>
            <w:r w:rsidRPr="00901239">
              <w:rPr>
                <w:rFonts w:ascii="Arial" w:eastAsia="MS Mincho" w:hAnsi="Arial" w:cs="Arial"/>
                <w:color w:val="181717"/>
                <w:kern w:val="24"/>
                <w14:textFill>
                  <w14:solidFill>
                    <w14:srgbClr w14:val="181717">
                      <w14:lumMod w14:val="10000"/>
                    </w14:srgbClr>
                  </w14:solidFill>
                </w14:textFill>
                <w14:ligatures w14:val="none"/>
              </w:rPr>
              <w:t xml:space="preserve"> are recommended by NICE technology appraisal to support continuation GDMT in patients who have experienced elevations in serum potassium measurements of 6.0 mmol/L or above. Check local formulary for details on who can initiate. Where this is through secondary care services please check with your local cardiology/heart failure teams. Please note that </w:t>
            </w:r>
            <w:proofErr w:type="spellStart"/>
            <w:r w:rsidRPr="00901239">
              <w:rPr>
                <w:rFonts w:ascii="Arial" w:eastAsia="MS Mincho" w:hAnsi="Arial" w:cs="Arial"/>
                <w:color w:val="181717"/>
                <w:kern w:val="24"/>
                <w14:textFill>
                  <w14:solidFill>
                    <w14:srgbClr w14:val="181717">
                      <w14:lumMod w14:val="10000"/>
                    </w14:srgbClr>
                  </w14:solidFill>
                </w14:textFill>
                <w14:ligatures w14:val="none"/>
              </w:rPr>
              <w:t>Lokelma</w:t>
            </w:r>
            <w:proofErr w:type="spellEnd"/>
            <w:r w:rsidRPr="00901239">
              <w:rPr>
                <w:rFonts w:ascii="Arial" w:eastAsia="MS Mincho" w:hAnsi="Arial" w:cs="Arial"/>
                <w:color w:val="181717"/>
                <w:kern w:val="24"/>
                <w14:textFill>
                  <w14:solidFill>
                    <w14:srgbClr w14:val="181717">
                      <w14:lumMod w14:val="10000"/>
                    </w14:srgbClr>
                  </w14:solidFill>
                </w14:textFill>
                <w14:ligatures w14:val="none"/>
              </w:rPr>
              <w:t xml:space="preserve"> exchanges potassium for sodium and may contribute to fluid retention or worsening congestion; clinical volume status should therefore be monitored.</w:t>
            </w:r>
          </w:p>
          <w:p w14:paraId="03DDB6C6" w14:textId="77777777" w:rsidR="00901239" w:rsidRPr="00901239" w:rsidRDefault="00901239" w:rsidP="00901239">
            <w:pPr>
              <w:spacing w:line="240" w:lineRule="auto"/>
              <w:rPr>
                <w:rFonts w:ascii="Arial" w:eastAsia="Arial" w:hAnsi="Arial" w:cs="Times New Roman"/>
                <w:kern w:val="0"/>
                <w14:ligatures w14:val="none"/>
              </w:rPr>
            </w:pPr>
            <w:r w:rsidRPr="00901239">
              <w:rPr>
                <w:rFonts w:ascii="Arial" w:eastAsia="MS Mincho" w:hAnsi="Arial" w:cs="Arial"/>
                <w:color w:val="181717"/>
                <w:kern w:val="0"/>
                <w14:ligatures w14:val="none"/>
              </w:rPr>
              <w:t>For hyperkalaemia, consider the possibility of a haemolysed sample and the location and timing of repeat samples.</w:t>
            </w:r>
          </w:p>
        </w:tc>
      </w:tr>
      <w:tr w:rsidR="00901239" w:rsidRPr="00901239" w14:paraId="54E18152" w14:textId="77777777" w:rsidTr="00C97EDB">
        <w:trPr>
          <w:trHeight w:val="27"/>
        </w:trPr>
        <w:tc>
          <w:tcPr>
            <w:tcW w:w="10206" w:type="dxa"/>
            <w:shd w:val="clear" w:color="auto" w:fill="F6C2D2"/>
            <w:vAlign w:val="center"/>
          </w:tcPr>
          <w:p w14:paraId="444C7020" w14:textId="77777777" w:rsidR="00901239" w:rsidRPr="00901239" w:rsidRDefault="00901239" w:rsidP="00901239">
            <w:pPr>
              <w:shd w:val="clear" w:color="auto" w:fill="F6C2D2"/>
              <w:spacing w:after="0" w:line="360" w:lineRule="auto"/>
              <w:rPr>
                <w:rFonts w:ascii="Arial" w:eastAsia="Arial" w:hAnsi="Arial" w:cs="Arial"/>
                <w:b/>
                <w:kern w:val="0"/>
                <w14:ligatures w14:val="none"/>
              </w:rPr>
            </w:pPr>
            <w:r w:rsidRPr="00901239">
              <w:rPr>
                <w:rFonts w:ascii="Arial" w:eastAsia="Arial" w:hAnsi="Arial" w:cs="Arial"/>
                <w:b/>
                <w:kern w:val="0"/>
                <w14:ligatures w14:val="none"/>
              </w:rPr>
              <w:t>In mild hyperkalaemia (K+ 5.5-5.9 mmol/L):</w:t>
            </w:r>
          </w:p>
          <w:p w14:paraId="437652C4" w14:textId="77777777" w:rsidR="00901239" w:rsidRPr="00901239" w:rsidRDefault="00901239" w:rsidP="00313C80">
            <w:pPr>
              <w:numPr>
                <w:ilvl w:val="0"/>
                <w:numId w:val="1"/>
              </w:numPr>
              <w:shd w:val="clear" w:color="auto" w:fill="F6C2D2"/>
              <w:spacing w:after="0" w:line="240" w:lineRule="auto"/>
              <w:ind w:left="720" w:hanging="357"/>
              <w:contextualSpacing/>
              <w:rPr>
                <w:rFonts w:ascii="Arial" w:eastAsia="Arial" w:hAnsi="Arial" w:cs="Arial"/>
                <w:kern w:val="0"/>
                <w14:ligatures w14:val="none"/>
              </w:rPr>
            </w:pPr>
            <w:r w:rsidRPr="00901239">
              <w:rPr>
                <w:rFonts w:ascii="Arial" w:eastAsia="Arial" w:hAnsi="Arial" w:cs="Arial"/>
                <w:kern w:val="0"/>
                <w14:ligatures w14:val="none"/>
              </w:rPr>
              <w:t xml:space="preserve">If the patient is acutely unwell or has AKI, hold MRA and/or ACE-I, ARB, ARNI. Consider whether hospital admission is necessary for the acute illness, although is generally not required for hyperkalaemia at this level. If the patient is clinically unwell due to congestion prioritise continuation of MRA and consider that potassium may well improve with diuresis. </w:t>
            </w:r>
          </w:p>
          <w:p w14:paraId="2D520C8F" w14:textId="77777777" w:rsidR="00901239" w:rsidRPr="00901239" w:rsidRDefault="00901239" w:rsidP="00313C80">
            <w:pPr>
              <w:numPr>
                <w:ilvl w:val="0"/>
                <w:numId w:val="1"/>
              </w:numPr>
              <w:shd w:val="clear" w:color="auto" w:fill="F6C2D2"/>
              <w:spacing w:after="0" w:line="240" w:lineRule="auto"/>
              <w:ind w:left="720" w:hanging="357"/>
              <w:contextualSpacing/>
              <w:rPr>
                <w:rFonts w:ascii="Arial" w:eastAsia="Arial" w:hAnsi="Arial" w:cs="Arial"/>
                <w:kern w:val="0"/>
                <w14:ligatures w14:val="none"/>
              </w:rPr>
            </w:pPr>
            <w:r w:rsidRPr="00901239">
              <w:rPr>
                <w:rFonts w:ascii="Arial" w:eastAsia="Arial" w:hAnsi="Arial" w:cs="Arial"/>
                <w:kern w:val="0"/>
                <w14:ligatures w14:val="none"/>
              </w:rPr>
              <w:t xml:space="preserve">If the patient is clinically stable consider continuing MRA, ACE-I, ARB, ARNI with close monitoring of U&amp;Es. Consider repeating U&amp;Es within 3 days if hyperkalaemia was unexpected. </w:t>
            </w:r>
          </w:p>
          <w:p w14:paraId="3FB89E3E" w14:textId="77777777" w:rsidR="00901239" w:rsidRPr="00901239" w:rsidRDefault="00901239" w:rsidP="00313C80">
            <w:pPr>
              <w:numPr>
                <w:ilvl w:val="0"/>
                <w:numId w:val="1"/>
              </w:numPr>
              <w:shd w:val="clear" w:color="auto" w:fill="F6C2D2"/>
              <w:spacing w:after="0" w:line="240" w:lineRule="auto"/>
              <w:ind w:left="720" w:hanging="357"/>
              <w:contextualSpacing/>
              <w:rPr>
                <w:rFonts w:ascii="Arial" w:eastAsia="Arial" w:hAnsi="Arial" w:cs="Arial"/>
                <w:kern w:val="0"/>
                <w14:ligatures w14:val="none"/>
              </w:rPr>
            </w:pPr>
            <w:r w:rsidRPr="00901239">
              <w:rPr>
                <w:rFonts w:ascii="Arial" w:eastAsia="Arial" w:hAnsi="Arial" w:cs="Arial"/>
                <w:kern w:val="0"/>
                <w14:ligatures w14:val="none"/>
              </w:rPr>
              <w:t xml:space="preserve">Advise patient to avoid potassium rich foods and provide diet advice sheet e.g. </w:t>
            </w:r>
            <w:hyperlink r:id="rId8">
              <w:r w:rsidRPr="00901239">
                <w:rPr>
                  <w:rFonts w:ascii="Arial" w:eastAsia="Arial" w:hAnsi="Arial" w:cs="Arial"/>
                  <w:color w:val="003087"/>
                  <w:kern w:val="0"/>
                  <w:u w:val="single"/>
                  <w14:ligatures w14:val="none"/>
                </w:rPr>
                <w:t>National Kidney Foundation: Why managing high potassium levels is so important – a leaflet for people with kidney disease</w:t>
              </w:r>
            </w:hyperlink>
            <w:r w:rsidRPr="00901239">
              <w:rPr>
                <w:rFonts w:ascii="Arial" w:eastAsia="Arial" w:hAnsi="Arial" w:cs="Arial"/>
                <w:kern w:val="0"/>
                <w14:ligatures w14:val="none"/>
              </w:rPr>
              <w:t>.</w:t>
            </w:r>
          </w:p>
          <w:p w14:paraId="289B97A0" w14:textId="77777777" w:rsidR="00901239" w:rsidRPr="00901239" w:rsidRDefault="00901239" w:rsidP="00901239">
            <w:pPr>
              <w:shd w:val="clear" w:color="auto" w:fill="F6C2D2"/>
              <w:spacing w:after="0" w:line="240" w:lineRule="auto"/>
              <w:ind w:left="723"/>
              <w:contextualSpacing/>
              <w:rPr>
                <w:rFonts w:ascii="Arial" w:eastAsia="Arial" w:hAnsi="Arial" w:cs="Arial"/>
                <w:kern w:val="0"/>
                <w14:ligatures w14:val="none"/>
              </w:rPr>
            </w:pPr>
          </w:p>
          <w:p w14:paraId="7414AC90" w14:textId="77777777" w:rsidR="00901239" w:rsidRPr="00901239" w:rsidRDefault="00901239" w:rsidP="00901239">
            <w:pPr>
              <w:shd w:val="clear" w:color="auto" w:fill="F6C2D2"/>
              <w:spacing w:after="0" w:line="360" w:lineRule="auto"/>
              <w:rPr>
                <w:rFonts w:ascii="Arial" w:eastAsia="Arial" w:hAnsi="Arial" w:cs="Arial"/>
                <w:b/>
                <w:bCs/>
                <w:kern w:val="0"/>
                <w14:ligatures w14:val="none"/>
              </w:rPr>
            </w:pPr>
            <w:r w:rsidRPr="00901239">
              <w:rPr>
                <w:rFonts w:ascii="Arial" w:eastAsia="Arial" w:hAnsi="Arial" w:cs="Arial"/>
                <w:b/>
                <w:bCs/>
                <w:kern w:val="0"/>
                <w14:ligatures w14:val="none"/>
              </w:rPr>
              <w:t>In moderate hyperkalaemia (K+ 6.0-6.4):</w:t>
            </w:r>
          </w:p>
          <w:p w14:paraId="582D0F8A" w14:textId="77777777" w:rsidR="00901239" w:rsidRPr="00901239" w:rsidRDefault="00901239" w:rsidP="00901239">
            <w:pPr>
              <w:numPr>
                <w:ilvl w:val="0"/>
                <w:numId w:val="3"/>
              </w:numPr>
              <w:shd w:val="clear" w:color="auto" w:fill="F6C2D2"/>
              <w:spacing w:after="0" w:line="240" w:lineRule="auto"/>
              <w:ind w:left="723"/>
              <w:contextualSpacing/>
              <w:rPr>
                <w:rFonts w:ascii="Arial" w:eastAsia="Arial" w:hAnsi="Arial" w:cs="Arial"/>
                <w:kern w:val="0"/>
                <w14:ligatures w14:val="none"/>
              </w:rPr>
            </w:pPr>
            <w:r w:rsidRPr="00901239">
              <w:rPr>
                <w:rFonts w:ascii="Arial" w:eastAsia="Arial" w:hAnsi="Arial" w:cs="Arial"/>
                <w:kern w:val="0"/>
                <w14:ligatures w14:val="none"/>
              </w:rPr>
              <w:t>If the patient is acutely unwell or has AKI, stop MRA, ACE-I, ARB, ARNI and refer to hospital for immediate assessment and treatment.</w:t>
            </w:r>
          </w:p>
          <w:p w14:paraId="53BA0B75" w14:textId="77777777" w:rsidR="00901239" w:rsidRPr="00901239" w:rsidRDefault="00901239" w:rsidP="00901239">
            <w:pPr>
              <w:numPr>
                <w:ilvl w:val="0"/>
                <w:numId w:val="3"/>
              </w:numPr>
              <w:shd w:val="clear" w:color="auto" w:fill="F6C2D2"/>
              <w:spacing w:after="0" w:line="240" w:lineRule="auto"/>
              <w:ind w:left="723"/>
              <w:contextualSpacing/>
              <w:rPr>
                <w:rFonts w:ascii="Arial" w:eastAsia="Arial" w:hAnsi="Arial" w:cs="Arial"/>
                <w:kern w:val="0"/>
                <w14:ligatures w14:val="none"/>
              </w:rPr>
            </w:pPr>
            <w:r w:rsidRPr="00901239">
              <w:rPr>
                <w:rFonts w:ascii="Arial" w:eastAsia="Arial" w:hAnsi="Arial" w:cs="Arial"/>
                <w:kern w:val="0"/>
                <w14:ligatures w14:val="none"/>
              </w:rPr>
              <w:t xml:space="preserve">If the patient is clinically </w:t>
            </w:r>
            <w:proofErr w:type="gramStart"/>
            <w:r w:rsidRPr="00901239">
              <w:rPr>
                <w:rFonts w:ascii="Arial" w:eastAsia="Arial" w:hAnsi="Arial" w:cs="Arial"/>
                <w:kern w:val="0"/>
                <w14:ligatures w14:val="none"/>
              </w:rPr>
              <w:t>well</w:t>
            </w:r>
            <w:proofErr w:type="gramEnd"/>
            <w:r w:rsidRPr="00901239">
              <w:rPr>
                <w:rFonts w:ascii="Arial" w:eastAsia="Arial" w:hAnsi="Arial" w:cs="Arial"/>
                <w:kern w:val="0"/>
                <w14:ligatures w14:val="none"/>
              </w:rPr>
              <w:t xml:space="preserve"> they may be able to avoid admission if the sample can be repeated within 1 day (please consider the possibility of a haemolysed sample and the location and timing of repeat samples).</w:t>
            </w:r>
          </w:p>
          <w:p w14:paraId="235657AE" w14:textId="77777777" w:rsidR="00901239" w:rsidRPr="00901239" w:rsidRDefault="00901239" w:rsidP="00901239">
            <w:pPr>
              <w:numPr>
                <w:ilvl w:val="0"/>
                <w:numId w:val="3"/>
              </w:numPr>
              <w:shd w:val="clear" w:color="auto" w:fill="F6C2D2"/>
              <w:spacing w:after="0" w:line="240" w:lineRule="auto"/>
              <w:ind w:left="723"/>
              <w:contextualSpacing/>
              <w:rPr>
                <w:rFonts w:ascii="Arial" w:eastAsia="Arial" w:hAnsi="Arial" w:cs="Arial"/>
                <w:kern w:val="0"/>
                <w14:ligatures w14:val="none"/>
              </w:rPr>
            </w:pPr>
            <w:r w:rsidRPr="00901239">
              <w:rPr>
                <w:rFonts w:ascii="Arial" w:eastAsia="Arial" w:hAnsi="Arial" w:cs="Arial"/>
                <w:kern w:val="0"/>
                <w14:ligatures w14:val="none"/>
              </w:rPr>
              <w:t xml:space="preserve">An ECG may be helpful for risk stratification. Any abnormal features such as </w:t>
            </w:r>
            <w:proofErr w:type="gramStart"/>
            <w:r w:rsidRPr="00901239">
              <w:rPr>
                <w:rFonts w:ascii="Arial" w:eastAsia="Arial" w:hAnsi="Arial" w:cs="Arial"/>
                <w:kern w:val="0"/>
                <w14:ligatures w14:val="none"/>
              </w:rPr>
              <w:t>tall peaked</w:t>
            </w:r>
            <w:proofErr w:type="gramEnd"/>
            <w:r w:rsidRPr="00901239">
              <w:rPr>
                <w:rFonts w:ascii="Arial" w:eastAsia="Arial" w:hAnsi="Arial" w:cs="Arial"/>
                <w:kern w:val="0"/>
                <w14:ligatures w14:val="none"/>
              </w:rPr>
              <w:t xml:space="preserve"> T waves, QRS widening, or conduction abnormalities should prompt urgent hospital assessment.</w:t>
            </w:r>
          </w:p>
          <w:p w14:paraId="426E6F53" w14:textId="77777777" w:rsidR="00901239" w:rsidRPr="00901239" w:rsidRDefault="00901239" w:rsidP="00901239">
            <w:pPr>
              <w:numPr>
                <w:ilvl w:val="0"/>
                <w:numId w:val="3"/>
              </w:numPr>
              <w:shd w:val="clear" w:color="auto" w:fill="F6C2D2"/>
              <w:spacing w:after="0" w:line="240" w:lineRule="auto"/>
              <w:ind w:left="723"/>
              <w:contextualSpacing/>
              <w:rPr>
                <w:rFonts w:ascii="Arial" w:eastAsia="Arial" w:hAnsi="Arial" w:cs="Arial"/>
                <w:kern w:val="0"/>
                <w14:ligatures w14:val="none"/>
              </w:rPr>
            </w:pPr>
            <w:r w:rsidRPr="00901239">
              <w:rPr>
                <w:rFonts w:ascii="Arial" w:eastAsia="Arial" w:hAnsi="Arial" w:cs="Arial"/>
                <w:kern w:val="0"/>
                <w14:ligatures w14:val="none"/>
              </w:rPr>
              <w:lastRenderedPageBreak/>
              <w:t xml:space="preserve">Patients may be able to continue treatment with </w:t>
            </w:r>
            <w:proofErr w:type="spellStart"/>
            <w:r w:rsidRPr="00901239">
              <w:rPr>
                <w:rFonts w:ascii="Arial" w:eastAsia="Arial" w:hAnsi="Arial" w:cs="Arial"/>
                <w:kern w:val="0"/>
                <w14:ligatures w14:val="none"/>
              </w:rPr>
              <w:t>RAASi</w:t>
            </w:r>
            <w:proofErr w:type="spellEnd"/>
            <w:r w:rsidRPr="00901239">
              <w:rPr>
                <w:rFonts w:ascii="Arial" w:eastAsia="Arial" w:hAnsi="Arial" w:cs="Arial"/>
                <w:kern w:val="0"/>
                <w14:ligatures w14:val="none"/>
              </w:rPr>
              <w:t xml:space="preserve"> if they are able to start urgent treatment with a potassium binder.</w:t>
            </w:r>
          </w:p>
          <w:p w14:paraId="21B19713" w14:textId="77777777" w:rsidR="00901239" w:rsidRPr="00901239" w:rsidRDefault="00901239" w:rsidP="00901239">
            <w:pPr>
              <w:numPr>
                <w:ilvl w:val="0"/>
                <w:numId w:val="3"/>
              </w:numPr>
              <w:shd w:val="clear" w:color="auto" w:fill="F6C2D2"/>
              <w:spacing w:after="0" w:line="240" w:lineRule="auto"/>
              <w:ind w:left="723"/>
              <w:contextualSpacing/>
              <w:rPr>
                <w:rFonts w:ascii="Arial" w:eastAsia="Arial" w:hAnsi="Arial" w:cs="Arial"/>
                <w:kern w:val="0"/>
                <w14:ligatures w14:val="none"/>
              </w:rPr>
            </w:pPr>
            <w:r w:rsidRPr="00901239">
              <w:rPr>
                <w:rFonts w:ascii="Arial" w:eastAsia="Arial" w:hAnsi="Arial" w:cs="Arial"/>
                <w:kern w:val="0"/>
                <w14:ligatures w14:val="none"/>
              </w:rPr>
              <w:t xml:space="preserve">Those who are unable to be started on a potassium binder will need adjustment of </w:t>
            </w:r>
            <w:proofErr w:type="spellStart"/>
            <w:r w:rsidRPr="00901239">
              <w:rPr>
                <w:rFonts w:ascii="Arial" w:eastAsia="Arial" w:hAnsi="Arial" w:cs="Arial"/>
                <w:kern w:val="0"/>
                <w14:ligatures w14:val="none"/>
              </w:rPr>
              <w:t>RAASi</w:t>
            </w:r>
            <w:proofErr w:type="spellEnd"/>
            <w:r w:rsidRPr="00901239">
              <w:rPr>
                <w:rFonts w:ascii="Arial" w:eastAsia="Arial" w:hAnsi="Arial" w:cs="Arial"/>
                <w:kern w:val="0"/>
                <w14:ligatures w14:val="none"/>
              </w:rPr>
              <w:t xml:space="preserve"> medications.</w:t>
            </w:r>
          </w:p>
          <w:p w14:paraId="34FD782A" w14:textId="77777777" w:rsidR="00901239" w:rsidRPr="00901239" w:rsidRDefault="00901239" w:rsidP="00901239">
            <w:pPr>
              <w:numPr>
                <w:ilvl w:val="0"/>
                <w:numId w:val="3"/>
              </w:numPr>
              <w:shd w:val="clear" w:color="auto" w:fill="F6C2D2"/>
              <w:spacing w:after="0" w:line="240" w:lineRule="auto"/>
              <w:ind w:left="723"/>
              <w:contextualSpacing/>
              <w:rPr>
                <w:rFonts w:ascii="Arial" w:eastAsia="Arial" w:hAnsi="Arial" w:cs="Arial"/>
                <w:kern w:val="0"/>
                <w14:ligatures w14:val="none"/>
              </w:rPr>
            </w:pPr>
            <w:r w:rsidRPr="00901239">
              <w:rPr>
                <w:rFonts w:ascii="Arial" w:eastAsia="Arial" w:hAnsi="Arial" w:cs="Arial"/>
                <w:kern w:val="0"/>
                <w14:ligatures w14:val="none"/>
              </w:rPr>
              <w:t xml:space="preserve">Advise patient to avoid potassium rich foods and provide diet advice sheet e.g. </w:t>
            </w:r>
            <w:hyperlink r:id="rId9">
              <w:r w:rsidRPr="00901239">
                <w:rPr>
                  <w:rFonts w:ascii="Arial" w:eastAsia="Arial" w:hAnsi="Arial" w:cs="Arial"/>
                  <w:color w:val="003087"/>
                  <w:kern w:val="0"/>
                  <w:u w:val="single"/>
                  <w14:ligatures w14:val="none"/>
                </w:rPr>
                <w:t>National Kidney Foundation: Why managing high potassium levels is so important – a leaflet for people with kidney disease</w:t>
              </w:r>
            </w:hyperlink>
            <w:r w:rsidRPr="00901239">
              <w:rPr>
                <w:rFonts w:ascii="Arial" w:eastAsia="Arial" w:hAnsi="Arial" w:cs="Arial"/>
                <w:kern w:val="0"/>
                <w14:ligatures w14:val="none"/>
              </w:rPr>
              <w:t>.</w:t>
            </w:r>
          </w:p>
          <w:p w14:paraId="7AF7A8F0" w14:textId="77777777" w:rsidR="00901239" w:rsidRPr="00901239" w:rsidRDefault="00901239" w:rsidP="00901239">
            <w:pPr>
              <w:shd w:val="clear" w:color="auto" w:fill="F6C2D2"/>
              <w:spacing w:after="0" w:line="240" w:lineRule="auto"/>
              <w:ind w:left="723"/>
              <w:contextualSpacing/>
              <w:rPr>
                <w:rFonts w:ascii="Arial" w:eastAsia="Arial" w:hAnsi="Arial" w:cs="Arial"/>
                <w:kern w:val="0"/>
                <w14:ligatures w14:val="none"/>
              </w:rPr>
            </w:pPr>
          </w:p>
          <w:p w14:paraId="0A18FC8C" w14:textId="77777777" w:rsidR="00901239" w:rsidRPr="00901239" w:rsidRDefault="00901239" w:rsidP="00901239">
            <w:pPr>
              <w:shd w:val="clear" w:color="auto" w:fill="F6C2D2"/>
              <w:spacing w:after="0" w:line="240" w:lineRule="auto"/>
              <w:rPr>
                <w:rFonts w:ascii="Arial" w:eastAsia="Arial" w:hAnsi="Arial" w:cs="Arial"/>
                <w:b/>
                <w:bCs/>
                <w:kern w:val="0"/>
                <w14:ligatures w14:val="none"/>
              </w:rPr>
            </w:pPr>
            <w:r w:rsidRPr="00901239">
              <w:rPr>
                <w:rFonts w:ascii="Arial" w:eastAsia="Arial" w:hAnsi="Arial" w:cs="Arial"/>
                <w:b/>
                <w:bCs/>
                <w:kern w:val="0"/>
                <w14:ligatures w14:val="none"/>
              </w:rPr>
              <w:t>In severe hyperkalaemia (K+ ≥6.5 mmol/l):</w:t>
            </w:r>
          </w:p>
          <w:p w14:paraId="7B9D35FC" w14:textId="77777777" w:rsidR="00901239" w:rsidRPr="00901239" w:rsidRDefault="00901239" w:rsidP="00901239">
            <w:pPr>
              <w:numPr>
                <w:ilvl w:val="0"/>
                <w:numId w:val="5"/>
              </w:numPr>
              <w:shd w:val="clear" w:color="auto" w:fill="F6C2D2"/>
              <w:spacing w:after="0" w:line="240" w:lineRule="auto"/>
              <w:contextualSpacing/>
              <w:rPr>
                <w:rFonts w:ascii="Arial" w:eastAsia="Arial" w:hAnsi="Arial" w:cs="Arial"/>
                <w:kern w:val="0"/>
                <w14:ligatures w14:val="none"/>
              </w:rPr>
            </w:pPr>
            <w:r w:rsidRPr="00901239">
              <w:rPr>
                <w:rFonts w:ascii="Arial" w:eastAsia="Arial" w:hAnsi="Arial" w:cs="Arial"/>
                <w:kern w:val="0"/>
                <w14:ligatures w14:val="none"/>
              </w:rPr>
              <w:t>Refer the patient to the acute hospital for immediate assessment and treatment.</w:t>
            </w:r>
          </w:p>
          <w:p w14:paraId="592D0E6A" w14:textId="77777777" w:rsidR="00901239" w:rsidRPr="00901239" w:rsidRDefault="00901239" w:rsidP="00901239">
            <w:pPr>
              <w:shd w:val="clear" w:color="auto" w:fill="F6C2D2"/>
              <w:spacing w:after="0" w:line="240" w:lineRule="auto"/>
              <w:ind w:left="720"/>
              <w:contextualSpacing/>
              <w:rPr>
                <w:rFonts w:ascii="Arial" w:eastAsia="Arial" w:hAnsi="Arial" w:cs="Arial"/>
                <w:kern w:val="0"/>
                <w14:ligatures w14:val="none"/>
              </w:rPr>
            </w:pPr>
          </w:p>
          <w:p w14:paraId="308EDABD" w14:textId="77777777" w:rsidR="00901239" w:rsidRPr="00901239" w:rsidRDefault="00901239" w:rsidP="00901239">
            <w:pPr>
              <w:shd w:val="clear" w:color="auto" w:fill="F6C2D2"/>
              <w:spacing w:after="120" w:line="240" w:lineRule="auto"/>
              <w:rPr>
                <w:rFonts w:ascii="Arial" w:eastAsia="Arial" w:hAnsi="Arial" w:cs="Arial"/>
                <w:b/>
                <w:kern w:val="0"/>
                <w14:ligatures w14:val="none"/>
              </w:rPr>
            </w:pPr>
            <w:r w:rsidRPr="00901239">
              <w:rPr>
                <w:rFonts w:ascii="Arial" w:eastAsia="Arial" w:hAnsi="Arial" w:cs="Arial"/>
                <w:b/>
                <w:kern w:val="0"/>
                <w14:ligatures w14:val="none"/>
              </w:rPr>
              <w:t xml:space="preserve">Trouble shooting </w:t>
            </w:r>
          </w:p>
          <w:p w14:paraId="736A6384" w14:textId="77777777" w:rsidR="00901239" w:rsidRPr="00901239" w:rsidRDefault="00901239" w:rsidP="00901239">
            <w:pPr>
              <w:shd w:val="clear" w:color="auto" w:fill="F6C2D2"/>
              <w:spacing w:after="0" w:line="240" w:lineRule="auto"/>
              <w:rPr>
                <w:rFonts w:ascii="Arial" w:eastAsia="Arial" w:hAnsi="Arial" w:cs="Arial"/>
                <w:b/>
                <w:kern w:val="0"/>
                <w14:ligatures w14:val="none"/>
              </w:rPr>
            </w:pPr>
            <w:r w:rsidRPr="00901239">
              <w:rPr>
                <w:rFonts w:ascii="Arial" w:eastAsia="Arial" w:hAnsi="Arial" w:cs="Arial"/>
                <w:b/>
                <w:kern w:val="0"/>
                <w14:ligatures w14:val="none"/>
              </w:rPr>
              <w:t>Please review diabetes control as poor diabetic control (hyperglycaemia) may be a cause for hyperkalaemia in itself:</w:t>
            </w:r>
          </w:p>
          <w:p w14:paraId="5378BD82" w14:textId="77777777" w:rsidR="00901239" w:rsidRPr="00901239" w:rsidRDefault="00901239" w:rsidP="00901239">
            <w:pPr>
              <w:numPr>
                <w:ilvl w:val="0"/>
                <w:numId w:val="4"/>
              </w:numPr>
              <w:shd w:val="clear" w:color="auto" w:fill="F6C2D2"/>
              <w:spacing w:after="0" w:line="240" w:lineRule="auto"/>
              <w:contextualSpacing/>
              <w:rPr>
                <w:rFonts w:ascii="Arial" w:eastAsia="Arial" w:hAnsi="Arial" w:cs="Arial"/>
                <w:b/>
                <w:kern w:val="0"/>
                <w14:ligatures w14:val="none"/>
              </w:rPr>
            </w:pPr>
            <w:r w:rsidRPr="00901239">
              <w:rPr>
                <w:rFonts w:ascii="Arial" w:eastAsia="Arial" w:hAnsi="Arial" w:cs="Arial"/>
                <w:kern w:val="0"/>
                <w14:ligatures w14:val="none"/>
              </w:rPr>
              <w:t xml:space="preserve">Please consider other medications which can elevate potassium levels. </w:t>
            </w:r>
          </w:p>
          <w:p w14:paraId="5A0AF61F" w14:textId="77777777" w:rsidR="00901239" w:rsidRPr="00901239" w:rsidRDefault="00901239" w:rsidP="00901239">
            <w:pPr>
              <w:numPr>
                <w:ilvl w:val="0"/>
                <w:numId w:val="4"/>
              </w:numPr>
              <w:shd w:val="clear" w:color="auto" w:fill="F6C2D2"/>
              <w:spacing w:after="0" w:line="240" w:lineRule="auto"/>
              <w:contextualSpacing/>
              <w:rPr>
                <w:rFonts w:ascii="Arial" w:eastAsia="Arial" w:hAnsi="Arial" w:cs="Arial"/>
                <w:kern w:val="0"/>
                <w14:ligatures w14:val="none"/>
              </w:rPr>
            </w:pPr>
            <w:r w:rsidRPr="00901239">
              <w:rPr>
                <w:rFonts w:ascii="Arial" w:eastAsia="Arial" w:hAnsi="Arial" w:cs="Arial"/>
                <w:kern w:val="0"/>
                <w14:ligatures w14:val="none"/>
              </w:rPr>
              <w:t xml:space="preserve">SGLT2i are indicated in heart failure across all ejection fraction ranges (but contraindicated in type 1 diabetes). These medications are shown to reduce the incidence of hyperkalaemia without increasing incidence of hypokalaemia. </w:t>
            </w:r>
          </w:p>
          <w:p w14:paraId="7190F18E" w14:textId="77777777" w:rsidR="00901239" w:rsidRPr="00901239" w:rsidRDefault="00901239" w:rsidP="00901239">
            <w:pPr>
              <w:numPr>
                <w:ilvl w:val="0"/>
                <w:numId w:val="4"/>
              </w:numPr>
              <w:shd w:val="clear" w:color="auto" w:fill="F6C2D2"/>
              <w:spacing w:after="0" w:line="240" w:lineRule="auto"/>
              <w:contextualSpacing/>
              <w:rPr>
                <w:rFonts w:ascii="Arial" w:eastAsia="Arial" w:hAnsi="Arial" w:cs="Arial"/>
                <w:kern w:val="0"/>
                <w14:ligatures w14:val="none"/>
              </w:rPr>
            </w:pPr>
            <w:r w:rsidRPr="00901239">
              <w:rPr>
                <w:rFonts w:ascii="Arial" w:eastAsia="Arial" w:hAnsi="Arial" w:cs="Arial"/>
                <w:kern w:val="0"/>
                <w14:ligatures w14:val="none"/>
              </w:rPr>
              <w:t xml:space="preserve">Check with patients that they are not using a potassium-based salt alternative such as ‘Lo Salt’. </w:t>
            </w:r>
          </w:p>
          <w:p w14:paraId="608FBCCF" w14:textId="77777777" w:rsidR="00901239" w:rsidRPr="00901239" w:rsidRDefault="00901239" w:rsidP="00901239">
            <w:pPr>
              <w:shd w:val="clear" w:color="auto" w:fill="F6C2D2"/>
              <w:spacing w:after="0" w:line="240" w:lineRule="auto"/>
              <w:ind w:left="720"/>
              <w:contextualSpacing/>
              <w:rPr>
                <w:rFonts w:ascii="Arial" w:eastAsia="Arial" w:hAnsi="Arial" w:cs="Arial"/>
                <w:kern w:val="0"/>
                <w14:ligatures w14:val="none"/>
              </w:rPr>
            </w:pPr>
          </w:p>
          <w:p w14:paraId="054B4485" w14:textId="77777777" w:rsidR="00901239" w:rsidRPr="00901239" w:rsidRDefault="00901239" w:rsidP="00901239">
            <w:pPr>
              <w:shd w:val="clear" w:color="auto" w:fill="F6C2D2"/>
              <w:spacing w:after="0" w:line="240" w:lineRule="auto"/>
              <w:rPr>
                <w:rFonts w:ascii="Arial" w:eastAsia="Arial" w:hAnsi="Arial" w:cs="Arial"/>
                <w:b/>
                <w:kern w:val="0"/>
                <w14:ligatures w14:val="none"/>
              </w:rPr>
            </w:pPr>
            <w:r w:rsidRPr="00901239">
              <w:rPr>
                <w:rFonts w:ascii="Arial" w:eastAsia="Arial" w:hAnsi="Arial" w:cs="Arial"/>
                <w:b/>
                <w:kern w:val="0"/>
                <w14:ligatures w14:val="none"/>
              </w:rPr>
              <w:t xml:space="preserve">When to refer: </w:t>
            </w:r>
          </w:p>
          <w:p w14:paraId="33904456" w14:textId="77777777" w:rsidR="00901239" w:rsidRPr="00901239" w:rsidRDefault="00901239" w:rsidP="00901239">
            <w:pPr>
              <w:numPr>
                <w:ilvl w:val="0"/>
                <w:numId w:val="2"/>
              </w:numPr>
              <w:shd w:val="clear" w:color="auto" w:fill="F6C2D2"/>
              <w:spacing w:after="0" w:line="240" w:lineRule="auto"/>
              <w:contextualSpacing/>
              <w:rPr>
                <w:rFonts w:ascii="Arial" w:eastAsia="Arial" w:hAnsi="Arial" w:cs="Arial"/>
                <w:kern w:val="0"/>
                <w14:ligatures w14:val="none"/>
              </w:rPr>
            </w:pPr>
            <w:r w:rsidRPr="00901239">
              <w:rPr>
                <w:rFonts w:ascii="Arial" w:eastAsia="Arial" w:hAnsi="Arial" w:cs="Arial"/>
                <w:kern w:val="0"/>
                <w14:ligatures w14:val="none"/>
              </w:rPr>
              <w:t xml:space="preserve">Please inform heart failure specialist teams if the patient is being actively managed by the service and GDMT are being amended. </w:t>
            </w:r>
          </w:p>
          <w:p w14:paraId="409A5C8D" w14:textId="77777777" w:rsidR="00901239" w:rsidRPr="00901239" w:rsidRDefault="00901239" w:rsidP="00901239">
            <w:pPr>
              <w:numPr>
                <w:ilvl w:val="0"/>
                <w:numId w:val="2"/>
              </w:numPr>
              <w:shd w:val="clear" w:color="auto" w:fill="F6C2D2"/>
              <w:spacing w:after="0" w:line="240" w:lineRule="auto"/>
              <w:contextualSpacing/>
              <w:rPr>
                <w:rFonts w:ascii="Arial" w:eastAsia="Arial" w:hAnsi="Arial" w:cs="Arial"/>
                <w:kern w:val="0"/>
                <w14:ligatures w14:val="none"/>
              </w:rPr>
            </w:pPr>
            <w:r w:rsidRPr="00901239">
              <w:rPr>
                <w:rFonts w:ascii="Arial" w:eastAsia="Arial" w:hAnsi="Arial" w:cs="Arial"/>
                <w:kern w:val="0"/>
                <w14:ligatures w14:val="none"/>
              </w:rPr>
              <w:t>Patients who are on patient initiated follow up (PIFU) with their heart failure teams can contact the team and ask for support with managing their hyperkalaemia and heart failure therapies.</w:t>
            </w:r>
          </w:p>
          <w:p w14:paraId="7CDD67BC" w14:textId="77777777" w:rsidR="00901239" w:rsidRPr="00901239" w:rsidRDefault="00901239" w:rsidP="00901239">
            <w:pPr>
              <w:shd w:val="clear" w:color="auto" w:fill="F6C2D2"/>
              <w:spacing w:after="0" w:line="240" w:lineRule="auto"/>
              <w:ind w:left="723"/>
              <w:contextualSpacing/>
              <w:rPr>
                <w:rFonts w:ascii="Arial" w:eastAsia="Arial" w:hAnsi="Arial" w:cs="Arial"/>
                <w:kern w:val="0"/>
                <w14:ligatures w14:val="none"/>
              </w:rPr>
            </w:pPr>
          </w:p>
        </w:tc>
      </w:tr>
      <w:tr w:rsidR="00901239" w:rsidRPr="00901239" w14:paraId="5647AD5D" w14:textId="77777777" w:rsidTr="00C97EDB">
        <w:trPr>
          <w:trHeight w:val="27"/>
        </w:trPr>
        <w:tc>
          <w:tcPr>
            <w:tcW w:w="10206" w:type="dxa"/>
            <w:shd w:val="clear" w:color="auto" w:fill="C2E3FF"/>
            <w:vAlign w:val="center"/>
          </w:tcPr>
          <w:p w14:paraId="6A2B0186" w14:textId="77777777" w:rsidR="00901239" w:rsidRPr="00901239" w:rsidRDefault="00901239" w:rsidP="00901239">
            <w:pPr>
              <w:spacing w:after="0" w:line="240" w:lineRule="auto"/>
              <w:ind w:right="140"/>
              <w:rPr>
                <w:rFonts w:ascii="Arial" w:eastAsia="Yu Mincho" w:hAnsi="Arial" w:cs="Arial"/>
                <w:b/>
                <w:bCs/>
                <w:color w:val="181717"/>
                <w:kern w:val="24"/>
                <w:lang w:eastAsia="en-GB"/>
                <w14:textFill>
                  <w14:solidFill>
                    <w14:srgbClr w14:val="181717">
                      <w14:lumMod w14:val="10000"/>
                    </w14:srgbClr>
                  </w14:solidFill>
                </w14:textFill>
                <w14:ligatures w14:val="none"/>
              </w:rPr>
            </w:pPr>
            <w:r w:rsidRPr="00901239">
              <w:rPr>
                <w:rFonts w:ascii="Arial" w:eastAsia="Yu Mincho" w:hAnsi="Arial" w:cs="Arial"/>
                <w:b/>
                <w:bCs/>
                <w:color w:val="181717"/>
                <w:kern w:val="24"/>
                <w:lang w:eastAsia="en-GB"/>
                <w14:textFill>
                  <w14:solidFill>
                    <w14:srgbClr w14:val="181717">
                      <w14:lumMod w14:val="10000"/>
                    </w14:srgbClr>
                  </w14:solidFill>
                </w14:textFill>
                <w14:ligatures w14:val="none"/>
              </w:rPr>
              <w:lastRenderedPageBreak/>
              <w:t>Links to relevant national guidance, local guidelines and pathways:</w:t>
            </w:r>
          </w:p>
          <w:p w14:paraId="0EE6709D" w14:textId="77777777" w:rsidR="00901239" w:rsidRPr="00901239" w:rsidRDefault="00901239" w:rsidP="00901239">
            <w:pPr>
              <w:numPr>
                <w:ilvl w:val="0"/>
                <w:numId w:val="6"/>
              </w:numPr>
              <w:spacing w:after="0" w:line="240" w:lineRule="auto"/>
              <w:ind w:right="140"/>
              <w:contextualSpacing/>
              <w:rPr>
                <w:rFonts w:ascii="Arial" w:eastAsia="Arial" w:hAnsi="Arial" w:cs="Arial"/>
                <w:color w:val="003087"/>
                <w:kern w:val="0"/>
                <w14:ligatures w14:val="none"/>
              </w:rPr>
            </w:pPr>
            <w:hyperlink r:id="rId10" w:history="1">
              <w:r w:rsidRPr="00901239">
                <w:rPr>
                  <w:rFonts w:ascii="Arial" w:eastAsia="Arial" w:hAnsi="Arial" w:cs="Arial"/>
                  <w:color w:val="003087"/>
                  <w:kern w:val="0"/>
                  <w:u w:val="single"/>
                  <w14:ligatures w14:val="none"/>
                </w:rPr>
                <w:t>UKKA Clinical Practice Guidelines: Treatment of Acute Hyperkalaemia in Adults</w:t>
              </w:r>
            </w:hyperlink>
          </w:p>
          <w:p w14:paraId="397ADEF9" w14:textId="77777777" w:rsidR="00901239" w:rsidRPr="00901239" w:rsidRDefault="00901239" w:rsidP="00901239">
            <w:pPr>
              <w:numPr>
                <w:ilvl w:val="0"/>
                <w:numId w:val="6"/>
              </w:numPr>
              <w:spacing w:after="0" w:line="240" w:lineRule="auto"/>
              <w:ind w:right="140"/>
              <w:contextualSpacing/>
              <w:rPr>
                <w:rFonts w:ascii="Arial" w:eastAsia="Arial" w:hAnsi="Arial" w:cs="Arial"/>
                <w:kern w:val="0"/>
                <w14:ligatures w14:val="none"/>
              </w:rPr>
            </w:pPr>
            <w:r w:rsidRPr="00901239">
              <w:rPr>
                <w:rFonts w:ascii="Arial" w:eastAsia="Arial" w:hAnsi="Arial" w:cs="Arial"/>
                <w:kern w:val="0"/>
                <w14:ligatures w14:val="none"/>
              </w:rPr>
              <w:t xml:space="preserve">Clark, A.L., Kalra, P.R., Petrie, M.C., Mark, P.B., Tomlinson, L.A. and Charles RV Tomson (2019). </w:t>
            </w:r>
            <w:hyperlink r:id="rId11" w:history="1">
              <w:r w:rsidRPr="00901239">
                <w:rPr>
                  <w:rFonts w:ascii="Arial" w:eastAsia="Arial" w:hAnsi="Arial" w:cs="Arial"/>
                  <w:color w:val="003087"/>
                  <w:kern w:val="0"/>
                  <w:u w:val="single"/>
                  <w14:ligatures w14:val="none"/>
                </w:rPr>
                <w:t>Change in renal function associated with drug treatment in heart failure: national guidance</w:t>
              </w:r>
            </w:hyperlink>
            <w:r w:rsidRPr="00901239">
              <w:rPr>
                <w:rFonts w:ascii="Arial" w:eastAsia="Arial" w:hAnsi="Arial" w:cs="Arial"/>
                <w:kern w:val="0"/>
                <w14:ligatures w14:val="none"/>
              </w:rPr>
              <w:t>. Heart, [online] 105(12), pp.904–910</w:t>
            </w:r>
          </w:p>
          <w:p w14:paraId="39C8C92E" w14:textId="77777777" w:rsidR="00901239" w:rsidRPr="00901239" w:rsidRDefault="00901239" w:rsidP="00901239">
            <w:pPr>
              <w:numPr>
                <w:ilvl w:val="0"/>
                <w:numId w:val="6"/>
              </w:numPr>
              <w:spacing w:after="0" w:line="240" w:lineRule="auto"/>
              <w:ind w:right="140"/>
              <w:contextualSpacing/>
              <w:rPr>
                <w:rFonts w:ascii="Arial" w:eastAsia="Arial" w:hAnsi="Arial" w:cs="Arial"/>
                <w:kern w:val="0"/>
                <w14:ligatures w14:val="none"/>
              </w:rPr>
            </w:pPr>
            <w:hyperlink r:id="rId12" w:history="1">
              <w:r w:rsidRPr="00901239">
                <w:rPr>
                  <w:rFonts w:ascii="Arial" w:eastAsia="Arial" w:hAnsi="Arial" w:cs="Arial"/>
                  <w:color w:val="003087"/>
                  <w:kern w:val="0"/>
                  <w:u w:val="single"/>
                  <w14:ligatures w14:val="none"/>
                </w:rPr>
                <w:t>2021 ESC Guidelines for the diagnosis and treatment of acute and chronic heart failure: ESC Clinical Practice Guidelines</w:t>
              </w:r>
            </w:hyperlink>
          </w:p>
          <w:p w14:paraId="66DAB191" w14:textId="77777777" w:rsidR="00901239" w:rsidRPr="00901239" w:rsidRDefault="00901239" w:rsidP="00901239">
            <w:pPr>
              <w:numPr>
                <w:ilvl w:val="0"/>
                <w:numId w:val="6"/>
              </w:numPr>
              <w:spacing w:after="0" w:line="240" w:lineRule="auto"/>
              <w:ind w:right="140"/>
              <w:contextualSpacing/>
              <w:rPr>
                <w:rFonts w:ascii="Arial" w:eastAsia="Arial" w:hAnsi="Arial" w:cs="Arial"/>
                <w:kern w:val="0"/>
                <w14:ligatures w14:val="none"/>
              </w:rPr>
            </w:pPr>
            <w:hyperlink r:id="rId13" w:history="1">
              <w:r w:rsidRPr="00901239">
                <w:rPr>
                  <w:rFonts w:ascii="Arial" w:eastAsia="Arial" w:hAnsi="Arial" w:cs="Arial"/>
                  <w:color w:val="003087"/>
                  <w:kern w:val="0"/>
                  <w:u w:val="single"/>
                  <w14:ligatures w14:val="none"/>
                </w:rPr>
                <w:t>2023 Focused Update of the 2021 ESC Guidelines for the diagnosis and treatment of acute and chronic heart failure: ESC Clinical Practice Guidelines</w:t>
              </w:r>
            </w:hyperlink>
          </w:p>
          <w:p w14:paraId="6EDAE8EE" w14:textId="77777777" w:rsidR="00901239" w:rsidRPr="00901239" w:rsidRDefault="00901239" w:rsidP="00901239">
            <w:pPr>
              <w:numPr>
                <w:ilvl w:val="0"/>
                <w:numId w:val="6"/>
              </w:numPr>
              <w:spacing w:after="0" w:line="240" w:lineRule="auto"/>
              <w:ind w:right="140"/>
              <w:contextualSpacing/>
              <w:rPr>
                <w:rFonts w:ascii="Arial" w:eastAsia="Arial" w:hAnsi="Arial" w:cs="Arial"/>
                <w:kern w:val="0"/>
                <w14:ligatures w14:val="none"/>
              </w:rPr>
            </w:pPr>
            <w:hyperlink r:id="rId14" w:history="1">
              <w:r w:rsidRPr="00901239">
                <w:rPr>
                  <w:rFonts w:ascii="Arial" w:eastAsia="Arial" w:hAnsi="Arial" w:cs="Arial"/>
                  <w:color w:val="003087"/>
                  <w:kern w:val="0"/>
                  <w:u w:val="single"/>
                  <w14:ligatures w14:val="none"/>
                </w:rPr>
                <w:t>NICE Technology appraisal guidance TA699: Sodium zirconium cyclosilicate for treating hyperkalaemia</w:t>
              </w:r>
            </w:hyperlink>
          </w:p>
          <w:p w14:paraId="5F26E9D2" w14:textId="77777777" w:rsidR="00901239" w:rsidRPr="00901239" w:rsidRDefault="00901239" w:rsidP="00901239">
            <w:pPr>
              <w:numPr>
                <w:ilvl w:val="0"/>
                <w:numId w:val="6"/>
              </w:numPr>
              <w:spacing w:after="0" w:line="240" w:lineRule="auto"/>
              <w:ind w:right="140"/>
              <w:contextualSpacing/>
              <w:rPr>
                <w:rFonts w:ascii="Arial" w:eastAsia="Arial" w:hAnsi="Arial" w:cs="Arial"/>
                <w:kern w:val="0"/>
                <w14:ligatures w14:val="none"/>
              </w:rPr>
            </w:pPr>
            <w:hyperlink r:id="rId15" w:history="1">
              <w:r w:rsidRPr="00901239">
                <w:rPr>
                  <w:rFonts w:ascii="Arial" w:eastAsia="Arial" w:hAnsi="Arial" w:cs="Arial"/>
                  <w:color w:val="003087"/>
                  <w:kern w:val="0"/>
                  <w:u w:val="single"/>
                  <w14:ligatures w14:val="none"/>
                </w:rPr>
                <w:t xml:space="preserve">Technology appraisal guidance TA623: </w:t>
              </w:r>
              <w:proofErr w:type="spellStart"/>
              <w:r w:rsidRPr="00901239">
                <w:rPr>
                  <w:rFonts w:ascii="Arial" w:eastAsia="Arial" w:hAnsi="Arial" w:cs="Arial"/>
                  <w:color w:val="003087"/>
                  <w:kern w:val="0"/>
                  <w:u w:val="single"/>
                  <w14:ligatures w14:val="none"/>
                </w:rPr>
                <w:t>Patiromer</w:t>
              </w:r>
              <w:proofErr w:type="spellEnd"/>
              <w:r w:rsidRPr="00901239">
                <w:rPr>
                  <w:rFonts w:ascii="Arial" w:eastAsia="Arial" w:hAnsi="Arial" w:cs="Arial"/>
                  <w:color w:val="003087"/>
                  <w:kern w:val="0"/>
                  <w:u w:val="single"/>
                  <w14:ligatures w14:val="none"/>
                </w:rPr>
                <w:t xml:space="preserve"> for treating hyperkalaemia</w:t>
              </w:r>
            </w:hyperlink>
          </w:p>
          <w:p w14:paraId="72E504C3" w14:textId="77777777" w:rsidR="00901239" w:rsidRPr="00901239" w:rsidRDefault="00901239" w:rsidP="00901239">
            <w:pPr>
              <w:numPr>
                <w:ilvl w:val="0"/>
                <w:numId w:val="6"/>
              </w:numPr>
              <w:spacing w:after="0" w:line="240" w:lineRule="auto"/>
              <w:ind w:right="140"/>
              <w:contextualSpacing/>
              <w:rPr>
                <w:rFonts w:ascii="Arial" w:eastAsia="Arial" w:hAnsi="Arial" w:cs="Arial"/>
                <w:kern w:val="0"/>
                <w14:ligatures w14:val="none"/>
              </w:rPr>
            </w:pPr>
            <w:r w:rsidRPr="00901239">
              <w:rPr>
                <w:rFonts w:ascii="Arial" w:eastAsia="Arial" w:hAnsi="Arial" w:cs="Arial"/>
                <w:kern w:val="0"/>
                <w14:ligatures w14:val="none"/>
              </w:rPr>
              <w:t xml:space="preserve">Charlwood, C., Chudasama, J., Darling, A.L., Logan Ellis, H. and Whyte, M.B. (2023). </w:t>
            </w:r>
            <w:hyperlink r:id="rId16" w:history="1">
              <w:r w:rsidRPr="00901239">
                <w:rPr>
                  <w:rFonts w:ascii="Arial" w:eastAsia="Arial" w:hAnsi="Arial" w:cs="Arial"/>
                  <w:color w:val="003087"/>
                  <w:kern w:val="0"/>
                  <w:u w:val="single"/>
                  <w14:ligatures w14:val="none"/>
                </w:rPr>
                <w:t>Effect of sodium-glucose co-transporter 2 inhibitors on plasma potassium: A meta-analysis</w:t>
              </w:r>
            </w:hyperlink>
            <w:r w:rsidRPr="00901239">
              <w:rPr>
                <w:rFonts w:ascii="Arial" w:eastAsia="Arial" w:hAnsi="Arial" w:cs="Arial"/>
                <w:kern w:val="0"/>
                <w14:ligatures w14:val="none"/>
              </w:rPr>
              <w:t xml:space="preserve">. Diabetes Research and Clinical Practice, [online] 196, p.110239. </w:t>
            </w:r>
            <w:proofErr w:type="spellStart"/>
            <w:r w:rsidRPr="00901239">
              <w:rPr>
                <w:rFonts w:ascii="Arial" w:eastAsia="Arial" w:hAnsi="Arial" w:cs="Arial"/>
                <w:kern w:val="0"/>
                <w14:ligatures w14:val="none"/>
              </w:rPr>
              <w:t>doi</w:t>
            </w:r>
            <w:proofErr w:type="spellEnd"/>
          </w:p>
          <w:p w14:paraId="56F4A71F" w14:textId="77777777" w:rsidR="00901239" w:rsidRPr="00901239" w:rsidRDefault="00901239" w:rsidP="00901239">
            <w:pPr>
              <w:spacing w:after="0" w:line="240" w:lineRule="auto"/>
              <w:ind w:right="140"/>
              <w:rPr>
                <w:rFonts w:ascii="Arial" w:eastAsia="Calibri" w:hAnsi="Arial" w:cs="Arial"/>
                <w:b/>
                <w:bCs/>
                <w:sz w:val="20"/>
                <w:szCs w:val="20"/>
              </w:rPr>
            </w:pPr>
          </w:p>
          <w:p w14:paraId="02BC3AE4" w14:textId="77777777" w:rsidR="00901239" w:rsidRPr="00901239" w:rsidRDefault="00901239" w:rsidP="00901239">
            <w:pPr>
              <w:spacing w:after="0" w:line="240" w:lineRule="auto"/>
              <w:ind w:right="140"/>
              <w:rPr>
                <w:rFonts w:ascii="Arial" w:eastAsia="Calibri" w:hAnsi="Arial" w:cs="Arial"/>
                <w:b/>
                <w:bCs/>
              </w:rPr>
            </w:pPr>
            <w:r w:rsidRPr="00901239">
              <w:rPr>
                <w:rFonts w:ascii="Arial" w:eastAsia="Calibri" w:hAnsi="Arial" w:cs="Arial"/>
                <w:b/>
                <w:bCs/>
              </w:rPr>
              <w:t>Resources for patients:</w:t>
            </w:r>
          </w:p>
          <w:p w14:paraId="0A2BDC27" w14:textId="77777777" w:rsidR="00901239" w:rsidRPr="00901239" w:rsidRDefault="00901239" w:rsidP="00901239">
            <w:pPr>
              <w:numPr>
                <w:ilvl w:val="0"/>
                <w:numId w:val="7"/>
              </w:numPr>
              <w:spacing w:after="0" w:line="240" w:lineRule="auto"/>
              <w:ind w:right="140"/>
              <w:contextualSpacing/>
              <w:rPr>
                <w:rFonts w:ascii="Arial" w:eastAsia="Calibri" w:hAnsi="Arial" w:cs="Arial"/>
              </w:rPr>
            </w:pPr>
            <w:hyperlink r:id="rId17">
              <w:r w:rsidRPr="00901239">
                <w:rPr>
                  <w:rFonts w:ascii="Arial" w:eastAsia="Arial" w:hAnsi="Arial" w:cs="Arial"/>
                  <w:color w:val="003087"/>
                  <w:kern w:val="0"/>
                  <w:u w:val="single"/>
                  <w14:ligatures w14:val="none"/>
                </w:rPr>
                <w:t>National Kidney Foundation: Why managing high potassium levels is so important – a leaflet for people with kidney disease</w:t>
              </w:r>
            </w:hyperlink>
          </w:p>
          <w:p w14:paraId="4FA974CC" w14:textId="77777777" w:rsidR="00901239" w:rsidRPr="00901239" w:rsidRDefault="00901239" w:rsidP="00901239">
            <w:pPr>
              <w:numPr>
                <w:ilvl w:val="0"/>
                <w:numId w:val="7"/>
              </w:numPr>
              <w:spacing w:after="0" w:line="240" w:lineRule="auto"/>
              <w:ind w:right="140"/>
              <w:contextualSpacing/>
              <w:rPr>
                <w:rFonts w:ascii="Arial" w:eastAsia="Calibri" w:hAnsi="Arial" w:cs="Arial"/>
              </w:rPr>
            </w:pPr>
            <w:hyperlink r:id="rId18" w:history="1">
              <w:r w:rsidRPr="00901239">
                <w:rPr>
                  <w:rFonts w:ascii="Arial" w:eastAsia="Arial" w:hAnsi="Arial" w:cs="Arial"/>
                  <w:color w:val="003087"/>
                  <w:kern w:val="0"/>
                  <w:u w:val="single"/>
                  <w14:ligatures w14:val="none"/>
                </w:rPr>
                <w:t>Heart failure in lights RAG sheets</w:t>
              </w:r>
            </w:hyperlink>
          </w:p>
          <w:p w14:paraId="32F2A286" w14:textId="77777777" w:rsidR="00901239" w:rsidRPr="00901239" w:rsidRDefault="00901239" w:rsidP="00901239">
            <w:pPr>
              <w:numPr>
                <w:ilvl w:val="0"/>
                <w:numId w:val="7"/>
              </w:numPr>
              <w:spacing w:after="0" w:line="240" w:lineRule="auto"/>
              <w:ind w:right="140"/>
              <w:contextualSpacing/>
              <w:rPr>
                <w:rFonts w:ascii="Arial" w:eastAsia="Calibri" w:hAnsi="Arial" w:cs="Arial"/>
              </w:rPr>
            </w:pPr>
            <w:hyperlink r:id="rId19" w:history="1">
              <w:r w:rsidRPr="00901239">
                <w:rPr>
                  <w:rFonts w:ascii="Arial" w:eastAsia="Arial" w:hAnsi="Arial" w:cs="Arial"/>
                  <w:color w:val="003087"/>
                  <w:kern w:val="0"/>
                  <w:u w:val="single"/>
                  <w14:ligatures w14:val="none"/>
                </w:rPr>
                <w:t>Pumping marvellous: Medication</w:t>
              </w:r>
            </w:hyperlink>
          </w:p>
          <w:p w14:paraId="2151B2DE" w14:textId="77777777" w:rsidR="00901239" w:rsidRPr="00901239" w:rsidRDefault="00901239" w:rsidP="00901239">
            <w:pPr>
              <w:spacing w:after="0" w:line="240" w:lineRule="auto"/>
              <w:ind w:left="720" w:right="140"/>
              <w:contextualSpacing/>
              <w:rPr>
                <w:rFonts w:ascii="Arial" w:eastAsia="Calibri" w:hAnsi="Arial" w:cs="Arial"/>
              </w:rPr>
            </w:pPr>
          </w:p>
        </w:tc>
      </w:tr>
      <w:tr w:rsidR="00901239" w:rsidRPr="00901239" w14:paraId="1667C099" w14:textId="77777777" w:rsidTr="00C97EDB">
        <w:trPr>
          <w:trHeight w:val="70"/>
        </w:trPr>
        <w:tc>
          <w:tcPr>
            <w:tcW w:w="10206" w:type="dxa"/>
            <w:shd w:val="clear" w:color="auto" w:fill="D9D9D9"/>
            <w:vAlign w:val="center"/>
          </w:tcPr>
          <w:p w14:paraId="16D2A3E7" w14:textId="77777777" w:rsidR="00901239" w:rsidRPr="00901239" w:rsidRDefault="00901239" w:rsidP="00901239">
            <w:pPr>
              <w:shd w:val="clear" w:color="auto" w:fill="D9D9D9"/>
              <w:spacing w:after="0" w:line="240" w:lineRule="auto"/>
              <w:rPr>
                <w:rFonts w:ascii="Arial" w:eastAsia="Arial" w:hAnsi="Arial" w:cs="Arial"/>
                <w:kern w:val="0"/>
                <w14:ligatures w14:val="none"/>
              </w:rPr>
            </w:pPr>
            <w:r w:rsidRPr="00901239">
              <w:rPr>
                <w:rFonts w:ascii="Arial" w:eastAsia="Arial" w:hAnsi="Arial" w:cs="Arial"/>
                <w:kern w:val="0"/>
                <w14:ligatures w14:val="none"/>
              </w:rPr>
              <w:t xml:space="preserve">If </w:t>
            </w:r>
            <w:proofErr w:type="gramStart"/>
            <w:r w:rsidRPr="00901239">
              <w:rPr>
                <w:rFonts w:ascii="Arial" w:eastAsia="Arial" w:hAnsi="Arial" w:cs="Arial"/>
                <w:kern w:val="0"/>
                <w14:ligatures w14:val="none"/>
              </w:rPr>
              <w:t>referring back</w:t>
            </w:r>
            <w:proofErr w:type="gramEnd"/>
            <w:r w:rsidRPr="00901239">
              <w:rPr>
                <w:rFonts w:ascii="Arial" w:eastAsia="Arial" w:hAnsi="Arial" w:cs="Arial"/>
                <w:kern w:val="0"/>
                <w14:ligatures w14:val="none"/>
              </w:rPr>
              <w:t xml:space="preserve">, please state that the referral has already been through Advice and Guidance and include previous </w:t>
            </w:r>
            <w:proofErr w:type="gramStart"/>
            <w:r w:rsidRPr="00901239">
              <w:rPr>
                <w:rFonts w:ascii="Arial" w:eastAsia="Arial" w:hAnsi="Arial" w:cs="Arial"/>
                <w:kern w:val="0"/>
                <w14:ligatures w14:val="none"/>
              </w:rPr>
              <w:t>correspondence</w:t>
            </w:r>
            <w:proofErr w:type="gramEnd"/>
            <w:r w:rsidRPr="00901239">
              <w:rPr>
                <w:rFonts w:ascii="Arial" w:eastAsia="Arial" w:hAnsi="Arial" w:cs="Arial"/>
                <w:kern w:val="0"/>
                <w14:ligatures w14:val="none"/>
              </w:rPr>
              <w:t xml:space="preserve"> so we don’t duplicate advice.</w:t>
            </w:r>
          </w:p>
          <w:p w14:paraId="29E6839A" w14:textId="77777777" w:rsidR="00901239" w:rsidRPr="00901239" w:rsidRDefault="00901239" w:rsidP="00901239">
            <w:pPr>
              <w:shd w:val="clear" w:color="auto" w:fill="D9D9D9"/>
              <w:spacing w:after="0" w:line="240" w:lineRule="auto"/>
              <w:rPr>
                <w:rFonts w:ascii="Arial" w:eastAsia="Arial" w:hAnsi="Arial" w:cs="Arial"/>
                <w:kern w:val="0"/>
                <w14:ligatures w14:val="none"/>
              </w:rPr>
            </w:pPr>
          </w:p>
          <w:p w14:paraId="0B5364A5" w14:textId="77777777" w:rsidR="00901239" w:rsidRPr="00901239" w:rsidRDefault="00901239" w:rsidP="00901239">
            <w:pPr>
              <w:shd w:val="clear" w:color="auto" w:fill="D9D9D9"/>
              <w:spacing w:after="0" w:line="240" w:lineRule="auto"/>
              <w:rPr>
                <w:rFonts w:ascii="Arial" w:eastAsia="Arial" w:hAnsi="Arial" w:cs="Arial"/>
                <w:kern w:val="0"/>
                <w14:ligatures w14:val="none"/>
              </w:rPr>
            </w:pPr>
            <w:r w:rsidRPr="00901239">
              <w:rPr>
                <w:rFonts w:ascii="Arial" w:eastAsia="Arial" w:hAnsi="Arial" w:cs="Arial"/>
                <w:kern w:val="0"/>
                <w14:ligatures w14:val="none"/>
              </w:rPr>
              <w:t>With kind regards,</w:t>
            </w:r>
          </w:p>
          <w:p w14:paraId="1948BC2D" w14:textId="77777777" w:rsidR="00901239" w:rsidRPr="00901239" w:rsidRDefault="00901239" w:rsidP="00901239">
            <w:pPr>
              <w:rPr>
                <w:rFonts w:ascii="Arial" w:eastAsia="Arial" w:hAnsi="Arial" w:cs="Times New Roman"/>
                <w:kern w:val="0"/>
                <w14:ligatures w14:val="none"/>
              </w:rPr>
            </w:pPr>
            <w:r w:rsidRPr="00901239">
              <w:rPr>
                <w:rFonts w:ascii="Arial" w:eastAsia="Arial" w:hAnsi="Arial" w:cs="Arial"/>
                <w:kern w:val="0"/>
                <w14:ligatures w14:val="none"/>
              </w:rPr>
              <w:t>[Responding clinician name and role]</w:t>
            </w:r>
          </w:p>
        </w:tc>
      </w:tr>
    </w:tbl>
    <w:p w14:paraId="04B965BB" w14:textId="77777777" w:rsidR="00C47DEC" w:rsidRDefault="00C47DEC"/>
    <w:sectPr w:rsidR="00C47DEC" w:rsidSect="00901239">
      <w:pgSz w:w="11906" w:h="16838"/>
      <w:pgMar w:top="568" w:right="1440"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197D1"/>
    <w:multiLevelType w:val="hybridMultilevel"/>
    <w:tmpl w:val="AFD2C048"/>
    <w:lvl w:ilvl="0" w:tplc="369ECB18">
      <w:start w:val="1"/>
      <w:numFmt w:val="bullet"/>
      <w:lvlText w:val=""/>
      <w:lvlJc w:val="left"/>
      <w:pPr>
        <w:ind w:left="1080" w:hanging="360"/>
      </w:pPr>
      <w:rPr>
        <w:rFonts w:ascii="Symbol" w:hAnsi="Symbol" w:hint="default"/>
      </w:rPr>
    </w:lvl>
    <w:lvl w:ilvl="1" w:tplc="D130CF02">
      <w:start w:val="1"/>
      <w:numFmt w:val="bullet"/>
      <w:lvlText w:val="o"/>
      <w:lvlJc w:val="left"/>
      <w:pPr>
        <w:ind w:left="1800" w:hanging="360"/>
      </w:pPr>
      <w:rPr>
        <w:rFonts w:ascii="Courier New" w:hAnsi="Courier New" w:hint="default"/>
      </w:rPr>
    </w:lvl>
    <w:lvl w:ilvl="2" w:tplc="0A3CE05E">
      <w:start w:val="1"/>
      <w:numFmt w:val="bullet"/>
      <w:lvlText w:val=""/>
      <w:lvlJc w:val="left"/>
      <w:pPr>
        <w:ind w:left="2520" w:hanging="360"/>
      </w:pPr>
      <w:rPr>
        <w:rFonts w:ascii="Wingdings" w:hAnsi="Wingdings" w:hint="default"/>
      </w:rPr>
    </w:lvl>
    <w:lvl w:ilvl="3" w:tplc="F6F6BC24">
      <w:start w:val="1"/>
      <w:numFmt w:val="bullet"/>
      <w:lvlText w:val=""/>
      <w:lvlJc w:val="left"/>
      <w:pPr>
        <w:ind w:left="3240" w:hanging="360"/>
      </w:pPr>
      <w:rPr>
        <w:rFonts w:ascii="Symbol" w:hAnsi="Symbol" w:hint="default"/>
      </w:rPr>
    </w:lvl>
    <w:lvl w:ilvl="4" w:tplc="4650E6F4">
      <w:start w:val="1"/>
      <w:numFmt w:val="bullet"/>
      <w:lvlText w:val="o"/>
      <w:lvlJc w:val="left"/>
      <w:pPr>
        <w:ind w:left="3960" w:hanging="360"/>
      </w:pPr>
      <w:rPr>
        <w:rFonts w:ascii="Courier New" w:hAnsi="Courier New" w:hint="default"/>
      </w:rPr>
    </w:lvl>
    <w:lvl w:ilvl="5" w:tplc="CF520C34">
      <w:start w:val="1"/>
      <w:numFmt w:val="bullet"/>
      <w:lvlText w:val=""/>
      <w:lvlJc w:val="left"/>
      <w:pPr>
        <w:ind w:left="4680" w:hanging="360"/>
      </w:pPr>
      <w:rPr>
        <w:rFonts w:ascii="Wingdings" w:hAnsi="Wingdings" w:hint="default"/>
      </w:rPr>
    </w:lvl>
    <w:lvl w:ilvl="6" w:tplc="82628E6A">
      <w:start w:val="1"/>
      <w:numFmt w:val="bullet"/>
      <w:lvlText w:val=""/>
      <w:lvlJc w:val="left"/>
      <w:pPr>
        <w:ind w:left="5400" w:hanging="360"/>
      </w:pPr>
      <w:rPr>
        <w:rFonts w:ascii="Symbol" w:hAnsi="Symbol" w:hint="default"/>
      </w:rPr>
    </w:lvl>
    <w:lvl w:ilvl="7" w:tplc="18C45870">
      <w:start w:val="1"/>
      <w:numFmt w:val="bullet"/>
      <w:lvlText w:val="o"/>
      <w:lvlJc w:val="left"/>
      <w:pPr>
        <w:ind w:left="6120" w:hanging="360"/>
      </w:pPr>
      <w:rPr>
        <w:rFonts w:ascii="Courier New" w:hAnsi="Courier New" w:hint="default"/>
      </w:rPr>
    </w:lvl>
    <w:lvl w:ilvl="8" w:tplc="5002D126">
      <w:start w:val="1"/>
      <w:numFmt w:val="bullet"/>
      <w:lvlText w:val=""/>
      <w:lvlJc w:val="left"/>
      <w:pPr>
        <w:ind w:left="6840" w:hanging="360"/>
      </w:pPr>
      <w:rPr>
        <w:rFonts w:ascii="Wingdings" w:hAnsi="Wingdings" w:hint="default"/>
      </w:rPr>
    </w:lvl>
  </w:abstractNum>
  <w:abstractNum w:abstractNumId="1" w15:restartNumberingAfterBreak="0">
    <w:nsid w:val="2D9565EF"/>
    <w:multiLevelType w:val="hybridMultilevel"/>
    <w:tmpl w:val="9D566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886564"/>
    <w:multiLevelType w:val="hybridMultilevel"/>
    <w:tmpl w:val="B7E441A6"/>
    <w:lvl w:ilvl="0" w:tplc="7376E690">
      <w:start w:val="1"/>
      <w:numFmt w:val="bullet"/>
      <w:lvlText w:val=""/>
      <w:lvlJc w:val="left"/>
      <w:pPr>
        <w:ind w:left="1080" w:hanging="360"/>
      </w:pPr>
      <w:rPr>
        <w:rFonts w:ascii="Symbol" w:hAnsi="Symbol" w:hint="default"/>
      </w:rPr>
    </w:lvl>
    <w:lvl w:ilvl="1" w:tplc="DE842132" w:tentative="1">
      <w:start w:val="1"/>
      <w:numFmt w:val="bullet"/>
      <w:lvlText w:val="o"/>
      <w:lvlJc w:val="left"/>
      <w:pPr>
        <w:ind w:left="1800" w:hanging="360"/>
      </w:pPr>
      <w:rPr>
        <w:rFonts w:ascii="Courier New" w:hAnsi="Courier New" w:hint="default"/>
      </w:rPr>
    </w:lvl>
    <w:lvl w:ilvl="2" w:tplc="E8025BB6" w:tentative="1">
      <w:start w:val="1"/>
      <w:numFmt w:val="bullet"/>
      <w:lvlText w:val=""/>
      <w:lvlJc w:val="left"/>
      <w:pPr>
        <w:ind w:left="2520" w:hanging="360"/>
      </w:pPr>
      <w:rPr>
        <w:rFonts w:ascii="Wingdings" w:hAnsi="Wingdings" w:hint="default"/>
      </w:rPr>
    </w:lvl>
    <w:lvl w:ilvl="3" w:tplc="EF483EFC" w:tentative="1">
      <w:start w:val="1"/>
      <w:numFmt w:val="bullet"/>
      <w:lvlText w:val=""/>
      <w:lvlJc w:val="left"/>
      <w:pPr>
        <w:ind w:left="3240" w:hanging="360"/>
      </w:pPr>
      <w:rPr>
        <w:rFonts w:ascii="Symbol" w:hAnsi="Symbol" w:hint="default"/>
      </w:rPr>
    </w:lvl>
    <w:lvl w:ilvl="4" w:tplc="D736B6E8" w:tentative="1">
      <w:start w:val="1"/>
      <w:numFmt w:val="bullet"/>
      <w:lvlText w:val="o"/>
      <w:lvlJc w:val="left"/>
      <w:pPr>
        <w:ind w:left="3960" w:hanging="360"/>
      </w:pPr>
      <w:rPr>
        <w:rFonts w:ascii="Courier New" w:hAnsi="Courier New" w:hint="default"/>
      </w:rPr>
    </w:lvl>
    <w:lvl w:ilvl="5" w:tplc="5D4EF688" w:tentative="1">
      <w:start w:val="1"/>
      <w:numFmt w:val="bullet"/>
      <w:lvlText w:val=""/>
      <w:lvlJc w:val="left"/>
      <w:pPr>
        <w:ind w:left="4680" w:hanging="360"/>
      </w:pPr>
      <w:rPr>
        <w:rFonts w:ascii="Wingdings" w:hAnsi="Wingdings" w:hint="default"/>
      </w:rPr>
    </w:lvl>
    <w:lvl w:ilvl="6" w:tplc="7E46CE34" w:tentative="1">
      <w:start w:val="1"/>
      <w:numFmt w:val="bullet"/>
      <w:lvlText w:val=""/>
      <w:lvlJc w:val="left"/>
      <w:pPr>
        <w:ind w:left="5400" w:hanging="360"/>
      </w:pPr>
      <w:rPr>
        <w:rFonts w:ascii="Symbol" w:hAnsi="Symbol" w:hint="default"/>
      </w:rPr>
    </w:lvl>
    <w:lvl w:ilvl="7" w:tplc="58344ED4" w:tentative="1">
      <w:start w:val="1"/>
      <w:numFmt w:val="bullet"/>
      <w:lvlText w:val="o"/>
      <w:lvlJc w:val="left"/>
      <w:pPr>
        <w:ind w:left="6120" w:hanging="360"/>
      </w:pPr>
      <w:rPr>
        <w:rFonts w:ascii="Courier New" w:hAnsi="Courier New" w:hint="default"/>
      </w:rPr>
    </w:lvl>
    <w:lvl w:ilvl="8" w:tplc="900CAD7E" w:tentative="1">
      <w:start w:val="1"/>
      <w:numFmt w:val="bullet"/>
      <w:lvlText w:val=""/>
      <w:lvlJc w:val="left"/>
      <w:pPr>
        <w:ind w:left="6840" w:hanging="360"/>
      </w:pPr>
      <w:rPr>
        <w:rFonts w:ascii="Wingdings" w:hAnsi="Wingdings" w:hint="default"/>
      </w:rPr>
    </w:lvl>
  </w:abstractNum>
  <w:abstractNum w:abstractNumId="3" w15:restartNumberingAfterBreak="0">
    <w:nsid w:val="43450274"/>
    <w:multiLevelType w:val="hybridMultilevel"/>
    <w:tmpl w:val="8F5C3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5A1AF5"/>
    <w:multiLevelType w:val="hybridMultilevel"/>
    <w:tmpl w:val="AD0C2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B15ED7"/>
    <w:multiLevelType w:val="hybridMultilevel"/>
    <w:tmpl w:val="7436D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CA53C8"/>
    <w:multiLevelType w:val="hybridMultilevel"/>
    <w:tmpl w:val="DE9CC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020752">
    <w:abstractNumId w:val="0"/>
  </w:num>
  <w:num w:numId="2" w16cid:durableId="489760117">
    <w:abstractNumId w:val="3"/>
  </w:num>
  <w:num w:numId="3" w16cid:durableId="1737587028">
    <w:abstractNumId w:val="2"/>
  </w:num>
  <w:num w:numId="4" w16cid:durableId="976884153">
    <w:abstractNumId w:val="6"/>
  </w:num>
  <w:num w:numId="5" w16cid:durableId="873541447">
    <w:abstractNumId w:val="4"/>
  </w:num>
  <w:num w:numId="6" w16cid:durableId="815536338">
    <w:abstractNumId w:val="5"/>
  </w:num>
  <w:num w:numId="7" w16cid:durableId="1644310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239"/>
    <w:rsid w:val="00313C80"/>
    <w:rsid w:val="004D3824"/>
    <w:rsid w:val="0052020E"/>
    <w:rsid w:val="00901239"/>
    <w:rsid w:val="00B05EAE"/>
    <w:rsid w:val="00C47DEC"/>
    <w:rsid w:val="00D42D01"/>
    <w:rsid w:val="00E74E5F"/>
    <w:rsid w:val="00E81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50AB2"/>
  <w15:chartTrackingRefBased/>
  <w15:docId w15:val="{1C16CB66-B4B6-424C-8FE5-F2166EC2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2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12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12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12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12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12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2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2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2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2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12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12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12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12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12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2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2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239"/>
    <w:rPr>
      <w:rFonts w:eastAsiaTheme="majorEastAsia" w:cstheme="majorBidi"/>
      <w:color w:val="272727" w:themeColor="text1" w:themeTint="D8"/>
    </w:rPr>
  </w:style>
  <w:style w:type="paragraph" w:styleId="Title">
    <w:name w:val="Title"/>
    <w:basedOn w:val="Normal"/>
    <w:next w:val="Normal"/>
    <w:link w:val="TitleChar"/>
    <w:uiPriority w:val="10"/>
    <w:qFormat/>
    <w:rsid w:val="00901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2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2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2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239"/>
    <w:pPr>
      <w:spacing w:before="160"/>
      <w:jc w:val="center"/>
    </w:pPr>
    <w:rPr>
      <w:i/>
      <w:iCs/>
      <w:color w:val="404040" w:themeColor="text1" w:themeTint="BF"/>
    </w:rPr>
  </w:style>
  <w:style w:type="character" w:customStyle="1" w:styleId="QuoteChar">
    <w:name w:val="Quote Char"/>
    <w:basedOn w:val="DefaultParagraphFont"/>
    <w:link w:val="Quote"/>
    <w:uiPriority w:val="29"/>
    <w:rsid w:val="00901239"/>
    <w:rPr>
      <w:i/>
      <w:iCs/>
      <w:color w:val="404040" w:themeColor="text1" w:themeTint="BF"/>
    </w:rPr>
  </w:style>
  <w:style w:type="paragraph" w:styleId="ListParagraph">
    <w:name w:val="List Paragraph"/>
    <w:basedOn w:val="Normal"/>
    <w:uiPriority w:val="34"/>
    <w:qFormat/>
    <w:rsid w:val="00901239"/>
    <w:pPr>
      <w:ind w:left="720"/>
      <w:contextualSpacing/>
    </w:pPr>
  </w:style>
  <w:style w:type="character" w:styleId="IntenseEmphasis">
    <w:name w:val="Intense Emphasis"/>
    <w:basedOn w:val="DefaultParagraphFont"/>
    <w:uiPriority w:val="21"/>
    <w:qFormat/>
    <w:rsid w:val="00901239"/>
    <w:rPr>
      <w:i/>
      <w:iCs/>
      <w:color w:val="2F5496" w:themeColor="accent1" w:themeShade="BF"/>
    </w:rPr>
  </w:style>
  <w:style w:type="paragraph" w:styleId="IntenseQuote">
    <w:name w:val="Intense Quote"/>
    <w:basedOn w:val="Normal"/>
    <w:next w:val="Normal"/>
    <w:link w:val="IntenseQuoteChar"/>
    <w:uiPriority w:val="30"/>
    <w:qFormat/>
    <w:rsid w:val="009012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1239"/>
    <w:rPr>
      <w:i/>
      <w:iCs/>
      <w:color w:val="2F5496" w:themeColor="accent1" w:themeShade="BF"/>
    </w:rPr>
  </w:style>
  <w:style w:type="character" w:styleId="IntenseReference">
    <w:name w:val="Intense Reference"/>
    <w:basedOn w:val="DefaultParagraphFont"/>
    <w:uiPriority w:val="32"/>
    <w:qFormat/>
    <w:rsid w:val="0090123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idney.org.uk/Handlers/Download.ashx?IDMF=30ba0c29-8c1c-4b6b-b70c-17a739a3b1af" TargetMode="External"/><Relationship Id="rId13" Type="http://schemas.openxmlformats.org/officeDocument/2006/relationships/hyperlink" Target="https://www.escardio.org/Guidelines/Clinical-Practice-Guidelines/Focused-Update-on-Heart-Failure-Guidelines" TargetMode="External"/><Relationship Id="rId18" Type="http://schemas.openxmlformats.org/officeDocument/2006/relationships/hyperlink" Target="https://pumpingmarvellous.org/wp-content/uploads/2022/07/Heart-Failure-in-Lights-RAG-Sheet.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escardio.org/Guidelines/Clinical-Practice-Guidelines/Acute-and-Chronic-Heart-Failure" TargetMode="External"/><Relationship Id="rId17" Type="http://schemas.openxmlformats.org/officeDocument/2006/relationships/hyperlink" Target="https://www.kidney.org.uk/Handlers/Download.ashx?IDMF=30ba0c29-8c1c-4b6b-b70c-17a739a3b1af" TargetMode="External"/><Relationship Id="rId2" Type="http://schemas.openxmlformats.org/officeDocument/2006/relationships/customXml" Target="../customXml/item2.xml"/><Relationship Id="rId16" Type="http://schemas.openxmlformats.org/officeDocument/2006/relationships/hyperlink" Target="https://www.diabetesresearchclinicalpractice.com/article/S0168-8227(23)00004-9/fulltex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art.bmj.com/content/105/12/904" TargetMode="External"/><Relationship Id="rId5" Type="http://schemas.openxmlformats.org/officeDocument/2006/relationships/styles" Target="styles.xml"/><Relationship Id="rId15" Type="http://schemas.openxmlformats.org/officeDocument/2006/relationships/hyperlink" Target="https://www.nice.org.uk/guidance/ta623" TargetMode="External"/><Relationship Id="rId10" Type="http://schemas.openxmlformats.org/officeDocument/2006/relationships/hyperlink" Target="https://www.ukkidney.org/sites/default/files/FINAL%20VERSION%20-%20UKKA%20CLINICAL%20PRACTICE%20GUIDELINE%20-%20MANAGEMENT%20OF%20HYPERKALAEMIA%20IN%20ADULTS%20-%20191223_0.pdf" TargetMode="External"/><Relationship Id="rId19" Type="http://schemas.openxmlformats.org/officeDocument/2006/relationships/hyperlink" Target="Pumping%20marvellous:%20Medication" TargetMode="External"/><Relationship Id="rId4" Type="http://schemas.openxmlformats.org/officeDocument/2006/relationships/numbering" Target="numbering.xml"/><Relationship Id="rId9" Type="http://schemas.openxmlformats.org/officeDocument/2006/relationships/hyperlink" Target="https://www.kidney.org.uk/Handlers/Download.ashx?IDMF=30ba0c29-8c1c-4b6b-b70c-17a739a3b1af" TargetMode="External"/><Relationship Id="rId14" Type="http://schemas.openxmlformats.org/officeDocument/2006/relationships/hyperlink" Target="https://www.nice.org.uk/guidance/ta5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xsi:nil="true"/>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Props1.xml><?xml version="1.0" encoding="utf-8"?>
<ds:datastoreItem xmlns:ds="http://schemas.openxmlformats.org/officeDocument/2006/customXml" ds:itemID="{3F6FDD32-D2BA-4913-8940-721A00BC71D3}">
  <ds:schemaRefs>
    <ds:schemaRef ds:uri="http://schemas.microsoft.com/sharepoint/v3/contenttype/forms"/>
  </ds:schemaRefs>
</ds:datastoreItem>
</file>

<file path=customXml/itemProps2.xml><?xml version="1.0" encoding="utf-8"?>
<ds:datastoreItem xmlns:ds="http://schemas.openxmlformats.org/officeDocument/2006/customXml" ds:itemID="{25EFFB17-53EE-41B7-8B2F-46DC212C9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703ED3-4D8E-48BB-903C-4FA4B53BCFE3}">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1124</Words>
  <Characters>6408</Characters>
  <Application>Microsoft Office Word</Application>
  <DocSecurity>0</DocSecurity>
  <Lines>53</Lines>
  <Paragraphs>15</Paragraphs>
  <ScaleCrop>false</ScaleCrop>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2</cp:revision>
  <dcterms:created xsi:type="dcterms:W3CDTF">2026-01-22T17:58:00Z</dcterms:created>
  <dcterms:modified xsi:type="dcterms:W3CDTF">2026-01-28T19:30:00Z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